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EEF" w:rsidRDefault="00173EEF">
      <w:pPr>
        <w:rPr>
          <w:sz w:val="24"/>
        </w:rPr>
      </w:pPr>
    </w:p>
    <w:p w:rsidR="00173EEF" w:rsidRDefault="00173EEF">
      <w:pPr>
        <w:rPr>
          <w:sz w:val="24"/>
        </w:rPr>
      </w:pPr>
    </w:p>
    <w:p w:rsidR="00173EEF" w:rsidRDefault="00173EEF">
      <w:pPr>
        <w:rPr>
          <w:sz w:val="24"/>
        </w:rPr>
      </w:pPr>
    </w:p>
    <w:p w:rsidR="00173EEF" w:rsidRDefault="00173EEF">
      <w:pPr>
        <w:rPr>
          <w:sz w:val="24"/>
        </w:rPr>
      </w:pPr>
    </w:p>
    <w:p w:rsidR="00173EEF" w:rsidRDefault="00173EEF">
      <w:pPr>
        <w:rPr>
          <w:sz w:val="24"/>
        </w:rPr>
      </w:pPr>
    </w:p>
    <w:p w:rsidR="00173EEF" w:rsidRDefault="00173EEF">
      <w:pPr>
        <w:rPr>
          <w:sz w:val="24"/>
        </w:rPr>
      </w:pPr>
    </w:p>
    <w:p w:rsidR="00173EEF" w:rsidRDefault="00173EEF">
      <w:pPr>
        <w:rPr>
          <w:sz w:val="24"/>
        </w:rPr>
      </w:pPr>
    </w:p>
    <w:p w:rsidR="00173EEF" w:rsidRDefault="00173EEF">
      <w:pPr>
        <w:spacing w:line="288" w:lineRule="auto"/>
        <w:ind w:left="1417"/>
        <w:jc w:val="both"/>
        <w:rPr>
          <w:sz w:val="24"/>
        </w:rPr>
      </w:pPr>
      <w:r>
        <w:rPr>
          <w:sz w:val="24"/>
        </w:rPr>
        <w:t>Til</w:t>
      </w:r>
    </w:p>
    <w:p w:rsidR="00173EEF" w:rsidRDefault="00F13E2A">
      <w:pPr>
        <w:spacing w:line="288" w:lineRule="auto"/>
        <w:ind w:left="1417"/>
        <w:jc w:val="both"/>
        <w:rPr>
          <w:sz w:val="24"/>
        </w:rPr>
      </w:pPr>
      <w:r>
        <w:rPr>
          <w:sz w:val="24"/>
        </w:rPr>
        <w:fldChar w:fldCharType="begin"/>
      </w:r>
      <w:r w:rsidR="00173EEF">
        <w:rPr>
          <w:sz w:val="24"/>
        </w:rPr>
        <w:instrText>ADVANCE \x119</w:instrText>
      </w:r>
      <w:r>
        <w:rPr>
          <w:sz w:val="24"/>
        </w:rPr>
        <w:fldChar w:fldCharType="end"/>
      </w:r>
      <w:r w:rsidR="00173EEF">
        <w:rPr>
          <w:sz w:val="24"/>
        </w:rPr>
        <w:t>Folketinget - Skatteudvalget</w:t>
      </w:r>
    </w:p>
    <w:p w:rsidR="00173EEF" w:rsidRDefault="00173EEF">
      <w:pPr>
        <w:spacing w:line="288" w:lineRule="auto"/>
        <w:ind w:left="1417"/>
        <w:jc w:val="both"/>
        <w:rPr>
          <w:sz w:val="24"/>
        </w:rPr>
      </w:pPr>
    </w:p>
    <w:p w:rsidR="001B722C" w:rsidRPr="001B722C" w:rsidRDefault="00173EEF" w:rsidP="001B722C">
      <w:pPr>
        <w:spacing w:line="288" w:lineRule="auto"/>
        <w:ind w:left="1417"/>
        <w:rPr>
          <w:sz w:val="24"/>
        </w:rPr>
      </w:pPr>
      <w:r>
        <w:rPr>
          <w:sz w:val="24"/>
        </w:rPr>
        <w:t>Til udvalgets ori</w:t>
      </w:r>
      <w:r w:rsidR="0075509B">
        <w:rPr>
          <w:sz w:val="24"/>
        </w:rPr>
        <w:t>entering vedlægges høringsskema</w:t>
      </w:r>
      <w:r>
        <w:rPr>
          <w:sz w:val="24"/>
        </w:rPr>
        <w:t xml:space="preserve"> vedr</w:t>
      </w:r>
      <w:r>
        <w:rPr>
          <w:sz w:val="24"/>
        </w:rPr>
        <w:t>ø</w:t>
      </w:r>
      <w:r>
        <w:rPr>
          <w:sz w:val="24"/>
        </w:rPr>
        <w:t xml:space="preserve">rende </w:t>
      </w:r>
      <w:r w:rsidR="001B722C">
        <w:rPr>
          <w:sz w:val="24"/>
        </w:rPr>
        <w:t>L 108 -</w:t>
      </w:r>
      <w:r>
        <w:rPr>
          <w:sz w:val="24"/>
        </w:rPr>
        <w:t xml:space="preserve"> </w:t>
      </w:r>
      <w:r w:rsidR="001B722C" w:rsidRPr="001B722C">
        <w:rPr>
          <w:sz w:val="24"/>
        </w:rPr>
        <w:t>Fo</w:t>
      </w:r>
      <w:r w:rsidR="001B722C" w:rsidRPr="001B722C">
        <w:rPr>
          <w:sz w:val="24"/>
        </w:rPr>
        <w:t>r</w:t>
      </w:r>
      <w:r w:rsidR="001B722C" w:rsidRPr="001B722C">
        <w:rPr>
          <w:sz w:val="24"/>
        </w:rPr>
        <w:t>slag til lov om ændring af lov om afgift af elektricitet, lov om afgift af naturgas og bygas, lov om a</w:t>
      </w:r>
      <w:r w:rsidR="001B722C" w:rsidRPr="001B722C">
        <w:rPr>
          <w:sz w:val="24"/>
        </w:rPr>
        <w:t>f</w:t>
      </w:r>
      <w:r w:rsidR="001B722C" w:rsidRPr="001B722C">
        <w:rPr>
          <w:sz w:val="24"/>
        </w:rPr>
        <w:t>gift af stenkul, brunkul og koks m.v. og lov om ene</w:t>
      </w:r>
      <w:r w:rsidR="001B722C" w:rsidRPr="001B722C">
        <w:rPr>
          <w:sz w:val="24"/>
        </w:rPr>
        <w:t>r</w:t>
      </w:r>
      <w:r w:rsidR="001B722C" w:rsidRPr="001B722C">
        <w:rPr>
          <w:sz w:val="24"/>
        </w:rPr>
        <w:t xml:space="preserve">giafgift af mineralolieprodukter m.v. </w:t>
      </w:r>
    </w:p>
    <w:p w:rsidR="00173EEF" w:rsidRDefault="001B722C" w:rsidP="001B722C">
      <w:pPr>
        <w:spacing w:line="288" w:lineRule="auto"/>
        <w:ind w:left="1417"/>
        <w:rPr>
          <w:sz w:val="24"/>
        </w:rPr>
      </w:pPr>
      <w:r w:rsidRPr="001B722C">
        <w:rPr>
          <w:sz w:val="24"/>
        </w:rPr>
        <w:t>(Forsyningssikkerhedsafgift på fossile brændsler og afgift</w:t>
      </w:r>
      <w:r w:rsidRPr="001B722C">
        <w:rPr>
          <w:sz w:val="24"/>
        </w:rPr>
        <w:t>s</w:t>
      </w:r>
      <w:r w:rsidRPr="001B722C">
        <w:rPr>
          <w:sz w:val="24"/>
        </w:rPr>
        <w:t>lempelse for pr</w:t>
      </w:r>
      <w:r w:rsidRPr="001B722C">
        <w:rPr>
          <w:sz w:val="24"/>
        </w:rPr>
        <w:t>o</w:t>
      </w:r>
      <w:r w:rsidRPr="001B722C">
        <w:rPr>
          <w:sz w:val="24"/>
        </w:rPr>
        <w:t>cesenergi)</w:t>
      </w:r>
      <w:r w:rsidR="00173EEF">
        <w:rPr>
          <w:sz w:val="24"/>
        </w:rPr>
        <w:t xml:space="preserve">. </w:t>
      </w:r>
    </w:p>
    <w:p w:rsidR="00173EEF" w:rsidRDefault="00173EEF">
      <w:pPr>
        <w:spacing w:line="288" w:lineRule="auto"/>
        <w:ind w:left="1417"/>
        <w:jc w:val="both"/>
        <w:rPr>
          <w:sz w:val="24"/>
        </w:rPr>
      </w:pPr>
    </w:p>
    <w:p w:rsidR="00173EEF" w:rsidRDefault="00173EEF">
      <w:pPr>
        <w:spacing w:line="288" w:lineRule="auto"/>
        <w:ind w:left="1417"/>
        <w:jc w:val="both"/>
        <w:rPr>
          <w:sz w:val="24"/>
        </w:rPr>
      </w:pPr>
    </w:p>
    <w:p w:rsidR="00173EEF" w:rsidRDefault="00173EEF">
      <w:pPr>
        <w:spacing w:line="288" w:lineRule="auto"/>
        <w:ind w:left="1417"/>
        <w:jc w:val="both"/>
        <w:rPr>
          <w:sz w:val="24"/>
        </w:rPr>
      </w:pPr>
    </w:p>
    <w:p w:rsidR="00173EEF" w:rsidRDefault="00173EEF">
      <w:pPr>
        <w:spacing w:line="288" w:lineRule="auto"/>
        <w:ind w:left="1417"/>
        <w:jc w:val="both"/>
        <w:rPr>
          <w:sz w:val="24"/>
        </w:rPr>
      </w:pPr>
    </w:p>
    <w:p w:rsidR="00173EEF" w:rsidRDefault="00173EEF">
      <w:pPr>
        <w:spacing w:line="288" w:lineRule="auto"/>
        <w:ind w:left="1417"/>
        <w:jc w:val="both"/>
        <w:rPr>
          <w:sz w:val="24"/>
        </w:rPr>
      </w:pPr>
    </w:p>
    <w:p w:rsidR="00173EEF" w:rsidRDefault="00597D53">
      <w:pPr>
        <w:spacing w:line="288" w:lineRule="auto"/>
        <w:ind w:left="1417"/>
        <w:jc w:val="both"/>
        <w:rPr>
          <w:sz w:val="24"/>
        </w:rPr>
      </w:pPr>
      <w:r>
        <w:rPr>
          <w:sz w:val="24"/>
        </w:rPr>
        <w:t>Holger K. Nielsen</w:t>
      </w:r>
    </w:p>
    <w:p w:rsidR="00173EEF" w:rsidRDefault="00173EEF" w:rsidP="00796F36">
      <w:pPr>
        <w:tabs>
          <w:tab w:val="left" w:pos="4680"/>
        </w:tabs>
        <w:spacing w:line="288" w:lineRule="auto"/>
        <w:ind w:left="1417"/>
        <w:jc w:val="both"/>
        <w:rPr>
          <w:sz w:val="24"/>
        </w:rPr>
      </w:pPr>
      <w:r>
        <w:rPr>
          <w:sz w:val="24"/>
        </w:rPr>
        <w:tab/>
        <w:t>/</w:t>
      </w:r>
      <w:r w:rsidR="001B722C">
        <w:rPr>
          <w:sz w:val="24"/>
        </w:rPr>
        <w:t>Lene Skov Henningsen</w:t>
      </w:r>
    </w:p>
    <w:p w:rsidR="00173EEF" w:rsidRDefault="00173EEF">
      <w:pPr>
        <w:rPr>
          <w:sz w:val="24"/>
        </w:rPr>
      </w:pPr>
      <w:r>
        <w:rPr>
          <w:sz w:val="24"/>
        </w:rPr>
        <w:t xml:space="preserve">                         </w:t>
      </w:r>
    </w:p>
    <w:p w:rsidR="00173EEF" w:rsidRDefault="00173EEF">
      <w:pPr>
        <w:spacing w:line="288" w:lineRule="auto"/>
        <w:rPr>
          <w:sz w:val="24"/>
          <w:szCs w:val="16"/>
          <w:lang w:eastAsia="en-US"/>
        </w:rPr>
      </w:pPr>
      <w:r>
        <w:rPr>
          <w:b/>
          <w:bCs/>
          <w:sz w:val="24"/>
        </w:rPr>
        <w:t xml:space="preserve"> </w:t>
      </w:r>
    </w:p>
    <w:p w:rsidR="00173EEF" w:rsidRDefault="00173EEF">
      <w:pPr>
        <w:spacing w:line="288" w:lineRule="auto"/>
        <w:rPr>
          <w:sz w:val="24"/>
          <w:szCs w:val="16"/>
          <w:lang w:eastAsia="en-US"/>
        </w:rPr>
      </w:pPr>
    </w:p>
    <w:p w:rsidR="00173EEF" w:rsidRDefault="00173EEF">
      <w:pPr>
        <w:pStyle w:val="Sidehoved"/>
        <w:tabs>
          <w:tab w:val="clear" w:pos="4819"/>
          <w:tab w:val="clear" w:pos="9638"/>
        </w:tabs>
        <w:rPr>
          <w:sz w:val="24"/>
        </w:rPr>
      </w:pPr>
    </w:p>
    <w:p w:rsidR="00173EEF" w:rsidRDefault="00173EEF">
      <w:pPr>
        <w:rPr>
          <w:b/>
          <w:bCs/>
          <w:sz w:val="24"/>
        </w:rPr>
      </w:pPr>
    </w:p>
    <w:p w:rsidR="00173EEF" w:rsidRPr="00140357" w:rsidRDefault="00173EEF" w:rsidP="00CA246D">
      <w:pPr>
        <w:pStyle w:val="Brdtekst"/>
        <w:rPr>
          <w:sz w:val="22"/>
          <w:szCs w:val="22"/>
        </w:rPr>
      </w:pPr>
      <w:r>
        <w:rPr>
          <w:sz w:val="24"/>
        </w:rPr>
        <w:br w:type="page"/>
      </w:r>
      <w:r w:rsidRPr="00140357">
        <w:rPr>
          <w:sz w:val="22"/>
          <w:szCs w:val="22"/>
        </w:rPr>
        <w:t xml:space="preserve">Høringsskema indeholdende høringssvar og kommentarer hertil vedrørende </w:t>
      </w:r>
      <w:r w:rsidR="00CA246D" w:rsidRPr="00140357">
        <w:rPr>
          <w:sz w:val="22"/>
          <w:szCs w:val="22"/>
        </w:rPr>
        <w:t xml:space="preserve">L 108 </w:t>
      </w:r>
      <w:r w:rsidR="0075509B" w:rsidRPr="00140357">
        <w:rPr>
          <w:sz w:val="22"/>
          <w:szCs w:val="22"/>
        </w:rPr>
        <w:t>-</w:t>
      </w:r>
      <w:r w:rsidR="00CA246D" w:rsidRPr="00140357">
        <w:rPr>
          <w:sz w:val="22"/>
          <w:szCs w:val="22"/>
        </w:rPr>
        <w:t>forslag til lov om æ</w:t>
      </w:r>
      <w:r w:rsidR="00CA246D" w:rsidRPr="00140357">
        <w:rPr>
          <w:sz w:val="22"/>
          <w:szCs w:val="22"/>
        </w:rPr>
        <w:t>n</w:t>
      </w:r>
      <w:r w:rsidR="00CA246D" w:rsidRPr="00140357">
        <w:rPr>
          <w:sz w:val="22"/>
          <w:szCs w:val="22"/>
        </w:rPr>
        <w:t>dring af lov om afgift af elektricitet, lov om afgift af naturgas og bygas, lov om afgift af stenkul, brunkul og koks m.v. og lov om energiafgift af mineralolieprodukter m.v. (Forsyningssikkerhedsafgift på fossile brændsler og afgiftslempelse for procesenergi)</w:t>
      </w:r>
      <w:r w:rsidR="00F13E2A" w:rsidRPr="00140357">
        <w:rPr>
          <w:sz w:val="22"/>
          <w:szCs w:val="22"/>
        </w:rPr>
        <w:fldChar w:fldCharType="begin"/>
      </w:r>
      <w:r w:rsidRPr="00140357">
        <w:rPr>
          <w:sz w:val="22"/>
          <w:szCs w:val="22"/>
        </w:rPr>
        <w:instrText xml:space="preserve"> FILLIN "Indtast Lov-titel, afslut med tab, enter" \* MERGEFORMAT </w:instrText>
      </w:r>
      <w:r w:rsidR="00F13E2A" w:rsidRPr="00140357">
        <w:rPr>
          <w:sz w:val="22"/>
          <w:szCs w:val="22"/>
        </w:rPr>
        <w:fldChar w:fldCharType="end"/>
      </w:r>
      <w:r w:rsidRPr="00140357">
        <w:rPr>
          <w:sz w:val="22"/>
          <w:szCs w:val="22"/>
        </w:rPr>
        <w:t>.</w:t>
      </w:r>
    </w:p>
    <w:p w:rsidR="00173EEF" w:rsidRPr="008236F0" w:rsidRDefault="00173EEF">
      <w:pPr>
        <w:rPr>
          <w:b/>
          <w:sz w:val="24"/>
        </w:rPr>
      </w:pPr>
    </w:p>
    <w:tbl>
      <w:tblPr>
        <w:tblStyle w:val="Tabel-Gitter"/>
        <w:tblW w:w="0" w:type="auto"/>
        <w:tblLayout w:type="fixed"/>
        <w:tblLook w:val="04A0"/>
      </w:tblPr>
      <w:tblGrid>
        <w:gridCol w:w="1809"/>
        <w:gridCol w:w="4245"/>
        <w:gridCol w:w="2991"/>
      </w:tblGrid>
      <w:tr w:rsidR="00E12A5D" w:rsidRPr="001F4CEA" w:rsidTr="00A56C38">
        <w:tc>
          <w:tcPr>
            <w:tcW w:w="1809" w:type="dxa"/>
          </w:tcPr>
          <w:p w:rsidR="00E12A5D" w:rsidRPr="001F4CEA" w:rsidRDefault="00321774">
            <w:pPr>
              <w:rPr>
                <w:b/>
                <w:sz w:val="22"/>
                <w:szCs w:val="22"/>
              </w:rPr>
            </w:pPr>
            <w:r w:rsidRPr="001F4CEA">
              <w:rPr>
                <w:b/>
                <w:sz w:val="22"/>
                <w:szCs w:val="22"/>
              </w:rPr>
              <w:t>Organisation</w:t>
            </w:r>
          </w:p>
        </w:tc>
        <w:tc>
          <w:tcPr>
            <w:tcW w:w="4245" w:type="dxa"/>
          </w:tcPr>
          <w:p w:rsidR="00E12A5D" w:rsidRPr="001F4CEA" w:rsidRDefault="00321774">
            <w:pPr>
              <w:rPr>
                <w:b/>
                <w:sz w:val="22"/>
                <w:szCs w:val="22"/>
              </w:rPr>
            </w:pPr>
            <w:r w:rsidRPr="001F4CEA">
              <w:rPr>
                <w:b/>
                <w:sz w:val="22"/>
                <w:szCs w:val="22"/>
              </w:rPr>
              <w:t>Bemærkninger</w:t>
            </w:r>
          </w:p>
        </w:tc>
        <w:tc>
          <w:tcPr>
            <w:tcW w:w="2991" w:type="dxa"/>
          </w:tcPr>
          <w:p w:rsidR="00E12A5D" w:rsidRPr="001F4CEA" w:rsidRDefault="00E12A5D">
            <w:pPr>
              <w:rPr>
                <w:b/>
                <w:sz w:val="22"/>
                <w:szCs w:val="22"/>
              </w:rPr>
            </w:pPr>
            <w:r w:rsidRPr="001F4CEA">
              <w:rPr>
                <w:b/>
                <w:sz w:val="22"/>
                <w:szCs w:val="22"/>
              </w:rPr>
              <w:t>Kommentarer</w:t>
            </w:r>
          </w:p>
        </w:tc>
      </w:tr>
      <w:tr w:rsidR="00E12A5D" w:rsidRPr="001F4CEA" w:rsidTr="00A56C38">
        <w:tc>
          <w:tcPr>
            <w:tcW w:w="1809" w:type="dxa"/>
          </w:tcPr>
          <w:p w:rsidR="00E12A5D" w:rsidRPr="001F4CEA" w:rsidRDefault="00163396">
            <w:pPr>
              <w:rPr>
                <w:sz w:val="22"/>
                <w:szCs w:val="22"/>
              </w:rPr>
            </w:pPr>
            <w:r w:rsidRPr="001F4CEA">
              <w:rPr>
                <w:sz w:val="22"/>
                <w:szCs w:val="22"/>
              </w:rPr>
              <w:t xml:space="preserve">Advokatrådet </w:t>
            </w:r>
          </w:p>
        </w:tc>
        <w:tc>
          <w:tcPr>
            <w:tcW w:w="4245" w:type="dxa"/>
          </w:tcPr>
          <w:p w:rsidR="00E12A5D" w:rsidRPr="001F4CEA" w:rsidRDefault="00163396">
            <w:pPr>
              <w:rPr>
                <w:sz w:val="22"/>
                <w:szCs w:val="22"/>
              </w:rPr>
            </w:pPr>
            <w:r w:rsidRPr="001F4CEA">
              <w:rPr>
                <w:sz w:val="22"/>
                <w:szCs w:val="22"/>
              </w:rPr>
              <w:t>Indledningsvis bemærkes, at høringsmateri</w:t>
            </w:r>
            <w:r w:rsidRPr="001F4CEA">
              <w:rPr>
                <w:sz w:val="22"/>
                <w:szCs w:val="22"/>
              </w:rPr>
              <w:t>a</w:t>
            </w:r>
            <w:r w:rsidRPr="001F4CEA">
              <w:rPr>
                <w:sz w:val="22"/>
                <w:szCs w:val="22"/>
              </w:rPr>
              <w:t xml:space="preserve">let er fremsendt med en frist på 18 dage til afgivelse af et svar. </w:t>
            </w:r>
          </w:p>
          <w:p w:rsidR="00163396" w:rsidRPr="001F4CEA" w:rsidRDefault="00163396">
            <w:pPr>
              <w:rPr>
                <w:sz w:val="22"/>
                <w:szCs w:val="22"/>
              </w:rPr>
            </w:pPr>
            <w:r w:rsidRPr="001F4CEA">
              <w:rPr>
                <w:sz w:val="22"/>
                <w:szCs w:val="22"/>
              </w:rPr>
              <w:t>Advokatrådet skal hertil bemærke, at en s</w:t>
            </w:r>
            <w:r w:rsidRPr="001F4CEA">
              <w:rPr>
                <w:sz w:val="22"/>
                <w:szCs w:val="22"/>
              </w:rPr>
              <w:t>å</w:t>
            </w:r>
            <w:r w:rsidRPr="001F4CEA">
              <w:rPr>
                <w:sz w:val="22"/>
                <w:szCs w:val="22"/>
              </w:rPr>
              <w:t>dan frist i realiteten udelukker en nærmere stillingtagen til de forslag, der er indeholdt i høringsmaterialet. Det må på den baggrund beregnes, at en række myndigheder og org</w:t>
            </w:r>
            <w:r w:rsidRPr="001F4CEA">
              <w:rPr>
                <w:sz w:val="22"/>
                <w:szCs w:val="22"/>
              </w:rPr>
              <w:t>a</w:t>
            </w:r>
            <w:r w:rsidRPr="001F4CEA">
              <w:rPr>
                <w:sz w:val="22"/>
                <w:szCs w:val="22"/>
              </w:rPr>
              <w:t>nisationer reelt ikke har mulighed for at u</w:t>
            </w:r>
            <w:r w:rsidRPr="001F4CEA">
              <w:rPr>
                <w:sz w:val="22"/>
                <w:szCs w:val="22"/>
              </w:rPr>
              <w:t>d</w:t>
            </w:r>
            <w:r w:rsidRPr="001F4CEA">
              <w:rPr>
                <w:sz w:val="22"/>
                <w:szCs w:val="22"/>
              </w:rPr>
              <w:t>fylde den funktion som høringspart, som det lovforberedende arbejde normalt trækker på som led i kvalitetssikringen af ny regule</w:t>
            </w:r>
            <w:r w:rsidR="00F93175">
              <w:rPr>
                <w:sz w:val="22"/>
                <w:szCs w:val="22"/>
              </w:rPr>
              <w:t>ring og som led i en almindelig</w:t>
            </w:r>
            <w:r w:rsidRPr="001F4CEA">
              <w:rPr>
                <w:sz w:val="22"/>
                <w:szCs w:val="22"/>
              </w:rPr>
              <w:t>, demokratisk pr</w:t>
            </w:r>
            <w:r w:rsidRPr="001F4CEA">
              <w:rPr>
                <w:sz w:val="22"/>
                <w:szCs w:val="22"/>
              </w:rPr>
              <w:t>o</w:t>
            </w:r>
            <w:r w:rsidRPr="001F4CEA">
              <w:rPr>
                <w:sz w:val="22"/>
                <w:szCs w:val="22"/>
              </w:rPr>
              <w:t xml:space="preserve">ces. </w:t>
            </w:r>
          </w:p>
          <w:p w:rsidR="00163396" w:rsidRPr="001F4CEA" w:rsidRDefault="00163396" w:rsidP="00163396">
            <w:pPr>
              <w:rPr>
                <w:sz w:val="22"/>
                <w:szCs w:val="22"/>
              </w:rPr>
            </w:pPr>
            <w:r w:rsidRPr="001F4CEA">
              <w:rPr>
                <w:sz w:val="22"/>
                <w:szCs w:val="22"/>
              </w:rPr>
              <w:t>Der henvises desuden til, at regeringen i sit regeringsgrundlag under overskriften ”god regeringsførelse” blandt andet har anført, at den vil sikre rimelige høringsfrister. Adv</w:t>
            </w:r>
            <w:r w:rsidRPr="001F4CEA">
              <w:rPr>
                <w:sz w:val="22"/>
                <w:szCs w:val="22"/>
              </w:rPr>
              <w:t>o</w:t>
            </w:r>
            <w:r w:rsidRPr="001F4CEA">
              <w:rPr>
                <w:sz w:val="22"/>
                <w:szCs w:val="22"/>
              </w:rPr>
              <w:t xml:space="preserve">katrådet finder det på den anførte baggrund særdeles beklageligt, at man i denne sag har udsendt høringsmaterialet med så kort frist. </w:t>
            </w:r>
          </w:p>
          <w:p w:rsidR="00163396" w:rsidRPr="001F4CEA" w:rsidRDefault="00163396" w:rsidP="00163396">
            <w:pPr>
              <w:rPr>
                <w:sz w:val="22"/>
                <w:szCs w:val="22"/>
              </w:rPr>
            </w:pPr>
            <w:r w:rsidRPr="001F4CEA">
              <w:rPr>
                <w:sz w:val="22"/>
                <w:szCs w:val="22"/>
              </w:rPr>
              <w:t xml:space="preserve">Advokatrådet har foretaget en summarisk gennemgang af det fremsendte, og har ikke umiddelbart indholdsmæssige bemærkninger til høringssagen. </w:t>
            </w:r>
          </w:p>
        </w:tc>
        <w:tc>
          <w:tcPr>
            <w:tcW w:w="2991" w:type="dxa"/>
          </w:tcPr>
          <w:p w:rsidR="00597329" w:rsidRPr="001F4CEA" w:rsidRDefault="00597329">
            <w:pPr>
              <w:rPr>
                <w:sz w:val="22"/>
                <w:szCs w:val="22"/>
              </w:rPr>
            </w:pPr>
            <w:r w:rsidRPr="001F4CEA">
              <w:rPr>
                <w:sz w:val="22"/>
                <w:szCs w:val="22"/>
              </w:rPr>
              <w:t xml:space="preserve">Høringsfristen er fastsat på baggrund af en </w:t>
            </w:r>
            <w:proofErr w:type="gramStart"/>
            <w:r w:rsidRPr="001F4CEA">
              <w:rPr>
                <w:sz w:val="22"/>
                <w:szCs w:val="22"/>
              </w:rPr>
              <w:t>tidspresset</w:t>
            </w:r>
            <w:proofErr w:type="gramEnd"/>
            <w:r w:rsidRPr="001F4CEA">
              <w:rPr>
                <w:sz w:val="22"/>
                <w:szCs w:val="22"/>
              </w:rPr>
              <w:t xml:space="preserve"> pr</w:t>
            </w:r>
            <w:r w:rsidRPr="001F4CEA">
              <w:rPr>
                <w:sz w:val="22"/>
                <w:szCs w:val="22"/>
              </w:rPr>
              <w:t>o</w:t>
            </w:r>
            <w:r w:rsidRPr="001F4CEA">
              <w:rPr>
                <w:sz w:val="22"/>
                <w:szCs w:val="22"/>
              </w:rPr>
              <w:t>ces, hvor lovforslaget har sku</w:t>
            </w:r>
            <w:r w:rsidRPr="001F4CEA">
              <w:rPr>
                <w:sz w:val="22"/>
                <w:szCs w:val="22"/>
              </w:rPr>
              <w:t>l</w:t>
            </w:r>
            <w:r w:rsidRPr="001F4CEA">
              <w:rPr>
                <w:sz w:val="22"/>
                <w:szCs w:val="22"/>
              </w:rPr>
              <w:t xml:space="preserve">let fremsættes i rette tid for at kunne træde i kraft 1. februar 2013.  </w:t>
            </w:r>
          </w:p>
          <w:p w:rsidR="00597329" w:rsidRPr="001F4CEA" w:rsidRDefault="00597329">
            <w:pPr>
              <w:rPr>
                <w:sz w:val="22"/>
                <w:szCs w:val="22"/>
              </w:rPr>
            </w:pPr>
            <w:r w:rsidRPr="001F4CEA">
              <w:rPr>
                <w:sz w:val="22"/>
                <w:szCs w:val="22"/>
              </w:rPr>
              <w:t>Ved fastsættelsen af høring</w:t>
            </w:r>
            <w:r w:rsidRPr="001F4CEA">
              <w:rPr>
                <w:sz w:val="22"/>
                <w:szCs w:val="22"/>
              </w:rPr>
              <w:t>s</w:t>
            </w:r>
            <w:r w:rsidRPr="001F4CEA">
              <w:rPr>
                <w:sz w:val="22"/>
                <w:szCs w:val="22"/>
              </w:rPr>
              <w:t>fristen er der således sket en afvejning af en række modsa</w:t>
            </w:r>
            <w:r w:rsidRPr="001F4CEA">
              <w:rPr>
                <w:sz w:val="22"/>
                <w:szCs w:val="22"/>
              </w:rPr>
              <w:t>t</w:t>
            </w:r>
            <w:r w:rsidRPr="001F4CEA">
              <w:rPr>
                <w:sz w:val="22"/>
                <w:szCs w:val="22"/>
              </w:rPr>
              <w:t>rettede hensyn, herunder he</w:t>
            </w:r>
            <w:r w:rsidRPr="001F4CEA">
              <w:rPr>
                <w:sz w:val="22"/>
                <w:szCs w:val="22"/>
              </w:rPr>
              <w:t>n</w:t>
            </w:r>
            <w:r w:rsidRPr="001F4CEA">
              <w:rPr>
                <w:sz w:val="22"/>
                <w:szCs w:val="22"/>
              </w:rPr>
              <w:t>synet til høringsparterne, he</w:t>
            </w:r>
            <w:r w:rsidRPr="001F4CEA">
              <w:rPr>
                <w:sz w:val="22"/>
                <w:szCs w:val="22"/>
              </w:rPr>
              <w:t>n</w:t>
            </w:r>
            <w:r w:rsidRPr="001F4CEA">
              <w:rPr>
                <w:sz w:val="22"/>
                <w:szCs w:val="22"/>
              </w:rPr>
              <w:t>synet til at undergive høring</w:t>
            </w:r>
            <w:r w:rsidRPr="001F4CEA">
              <w:rPr>
                <w:sz w:val="22"/>
                <w:szCs w:val="22"/>
              </w:rPr>
              <w:t>s</w:t>
            </w:r>
            <w:r w:rsidRPr="001F4CEA">
              <w:rPr>
                <w:sz w:val="22"/>
                <w:szCs w:val="22"/>
              </w:rPr>
              <w:t>svarene en seriøs overvejelse og kommentering i Skattemin</w:t>
            </w:r>
            <w:r w:rsidRPr="001F4CEA">
              <w:rPr>
                <w:sz w:val="22"/>
                <w:szCs w:val="22"/>
              </w:rPr>
              <w:t>i</w:t>
            </w:r>
            <w:r w:rsidRPr="001F4CEA">
              <w:rPr>
                <w:sz w:val="22"/>
                <w:szCs w:val="22"/>
              </w:rPr>
              <w:t>steriet og hensynet til en o</w:t>
            </w:r>
            <w:r w:rsidRPr="001F4CEA">
              <w:rPr>
                <w:sz w:val="22"/>
                <w:szCs w:val="22"/>
              </w:rPr>
              <w:t>r</w:t>
            </w:r>
            <w:r w:rsidRPr="001F4CEA">
              <w:rPr>
                <w:sz w:val="22"/>
                <w:szCs w:val="22"/>
              </w:rPr>
              <w:t>dentligt lovproces i Folketi</w:t>
            </w:r>
            <w:r w:rsidRPr="001F4CEA">
              <w:rPr>
                <w:sz w:val="22"/>
                <w:szCs w:val="22"/>
              </w:rPr>
              <w:t>n</w:t>
            </w:r>
            <w:r w:rsidRPr="001F4CEA">
              <w:rPr>
                <w:sz w:val="22"/>
                <w:szCs w:val="22"/>
              </w:rPr>
              <w:t>get.</w:t>
            </w:r>
          </w:p>
          <w:p w:rsidR="00597329" w:rsidRPr="001F4CEA" w:rsidRDefault="00597329">
            <w:pPr>
              <w:rPr>
                <w:sz w:val="22"/>
                <w:szCs w:val="22"/>
              </w:rPr>
            </w:pPr>
            <w:r w:rsidRPr="001F4CEA">
              <w:rPr>
                <w:sz w:val="22"/>
                <w:szCs w:val="22"/>
              </w:rPr>
              <w:t xml:space="preserve">På trods af </w:t>
            </w:r>
            <w:r w:rsidR="00107D6D" w:rsidRPr="001F4CEA">
              <w:rPr>
                <w:sz w:val="22"/>
                <w:szCs w:val="22"/>
              </w:rPr>
              <w:t>dette</w:t>
            </w:r>
            <w:r w:rsidRPr="001F4CEA">
              <w:rPr>
                <w:sz w:val="22"/>
                <w:szCs w:val="22"/>
              </w:rPr>
              <w:t xml:space="preserve"> har Skattem</w:t>
            </w:r>
            <w:r w:rsidRPr="001F4CEA">
              <w:rPr>
                <w:sz w:val="22"/>
                <w:szCs w:val="22"/>
              </w:rPr>
              <w:t>i</w:t>
            </w:r>
            <w:r w:rsidRPr="001F4CEA">
              <w:rPr>
                <w:sz w:val="22"/>
                <w:szCs w:val="22"/>
              </w:rPr>
              <w:t>nisteriet modtaget kvalificeret input fra interesseorganisati</w:t>
            </w:r>
            <w:r w:rsidRPr="001F4CEA">
              <w:rPr>
                <w:sz w:val="22"/>
                <w:szCs w:val="22"/>
              </w:rPr>
              <w:t>o</w:t>
            </w:r>
            <w:r w:rsidRPr="001F4CEA">
              <w:rPr>
                <w:sz w:val="22"/>
                <w:szCs w:val="22"/>
              </w:rPr>
              <w:t>ner, faglige sammenslutninger og andre.</w:t>
            </w:r>
          </w:p>
          <w:p w:rsidR="00E12A5D" w:rsidRPr="001F4CEA" w:rsidRDefault="00597329" w:rsidP="00107D6D">
            <w:pPr>
              <w:rPr>
                <w:sz w:val="22"/>
                <w:szCs w:val="22"/>
              </w:rPr>
            </w:pPr>
            <w:r w:rsidRPr="001F4CEA">
              <w:rPr>
                <w:sz w:val="22"/>
                <w:szCs w:val="22"/>
              </w:rPr>
              <w:t xml:space="preserve">Endvidere </w:t>
            </w:r>
            <w:r w:rsidR="00107D6D" w:rsidRPr="001F4CEA">
              <w:rPr>
                <w:sz w:val="22"/>
                <w:szCs w:val="22"/>
              </w:rPr>
              <w:t xml:space="preserve">skal det nævnes, at </w:t>
            </w:r>
            <w:r w:rsidRPr="001F4CEA">
              <w:rPr>
                <w:sz w:val="22"/>
                <w:szCs w:val="22"/>
              </w:rPr>
              <w:t>høringsparterne</w:t>
            </w:r>
            <w:r w:rsidR="00107D6D" w:rsidRPr="001F4CEA">
              <w:rPr>
                <w:sz w:val="22"/>
                <w:szCs w:val="22"/>
              </w:rPr>
              <w:t xml:space="preserve"> har</w:t>
            </w:r>
            <w:r w:rsidRPr="001F4CEA">
              <w:rPr>
                <w:sz w:val="22"/>
                <w:szCs w:val="22"/>
              </w:rPr>
              <w:t xml:space="preserve"> mulighed for at komme med bemærkni</w:t>
            </w:r>
            <w:r w:rsidRPr="001F4CEA">
              <w:rPr>
                <w:sz w:val="22"/>
                <w:szCs w:val="22"/>
              </w:rPr>
              <w:t>n</w:t>
            </w:r>
            <w:r w:rsidRPr="001F4CEA">
              <w:rPr>
                <w:sz w:val="22"/>
                <w:szCs w:val="22"/>
              </w:rPr>
              <w:t>ger i forbindelse med folk</w:t>
            </w:r>
            <w:r w:rsidRPr="001F4CEA">
              <w:rPr>
                <w:sz w:val="22"/>
                <w:szCs w:val="22"/>
              </w:rPr>
              <w:t>e</w:t>
            </w:r>
            <w:r w:rsidRPr="001F4CEA">
              <w:rPr>
                <w:sz w:val="22"/>
                <w:szCs w:val="22"/>
              </w:rPr>
              <w:t>tingsbehandlingen.</w:t>
            </w:r>
          </w:p>
        </w:tc>
      </w:tr>
      <w:tr w:rsidR="0065594F" w:rsidRPr="001F4CEA" w:rsidTr="00A56C38">
        <w:tc>
          <w:tcPr>
            <w:tcW w:w="1809" w:type="dxa"/>
          </w:tcPr>
          <w:p w:rsidR="0065594F" w:rsidRPr="001F4CEA" w:rsidRDefault="0065594F">
            <w:pPr>
              <w:rPr>
                <w:sz w:val="22"/>
                <w:szCs w:val="22"/>
              </w:rPr>
            </w:pPr>
            <w:r w:rsidRPr="001F4CEA">
              <w:rPr>
                <w:sz w:val="22"/>
                <w:szCs w:val="22"/>
              </w:rPr>
              <w:t>Bryggeriforeni</w:t>
            </w:r>
            <w:r w:rsidRPr="001F4CEA">
              <w:rPr>
                <w:sz w:val="22"/>
                <w:szCs w:val="22"/>
              </w:rPr>
              <w:t>n</w:t>
            </w:r>
            <w:r w:rsidRPr="001F4CEA">
              <w:rPr>
                <w:sz w:val="22"/>
                <w:szCs w:val="22"/>
              </w:rPr>
              <w:t>gen</w:t>
            </w:r>
          </w:p>
        </w:tc>
        <w:tc>
          <w:tcPr>
            <w:tcW w:w="4245" w:type="dxa"/>
          </w:tcPr>
          <w:p w:rsidR="0065594F" w:rsidRPr="001F4CEA" w:rsidRDefault="0065594F" w:rsidP="0065594F">
            <w:pPr>
              <w:rPr>
                <w:sz w:val="22"/>
                <w:szCs w:val="22"/>
              </w:rPr>
            </w:pPr>
            <w:r w:rsidRPr="001F4CEA">
              <w:rPr>
                <w:sz w:val="22"/>
                <w:szCs w:val="22"/>
              </w:rPr>
              <w:t>De danske energiafgifter er i forvejen særd</w:t>
            </w:r>
            <w:r w:rsidRPr="001F4CEA">
              <w:rPr>
                <w:sz w:val="22"/>
                <w:szCs w:val="22"/>
              </w:rPr>
              <w:t>e</w:t>
            </w:r>
            <w:r w:rsidRPr="001F4CEA">
              <w:rPr>
                <w:sz w:val="22"/>
                <w:szCs w:val="22"/>
              </w:rPr>
              <w:t>les høje, og forslaget L108 om at hæve afgi</w:t>
            </w:r>
            <w:r w:rsidRPr="001F4CEA">
              <w:rPr>
                <w:sz w:val="22"/>
                <w:szCs w:val="22"/>
              </w:rPr>
              <w:t>f</w:t>
            </w:r>
            <w:r w:rsidRPr="001F4CEA">
              <w:rPr>
                <w:sz w:val="22"/>
                <w:szCs w:val="22"/>
              </w:rPr>
              <w:t>terne yderligere ved at indføre en (penge) forsyningssikkerhedsafgift gør det ikke lett</w:t>
            </w:r>
            <w:r w:rsidRPr="001F4CEA">
              <w:rPr>
                <w:sz w:val="22"/>
                <w:szCs w:val="22"/>
              </w:rPr>
              <w:t>e</w:t>
            </w:r>
            <w:r w:rsidRPr="001F4CEA">
              <w:rPr>
                <w:sz w:val="22"/>
                <w:szCs w:val="22"/>
              </w:rPr>
              <w:t>re for bryggerier og tapperier at konkurrere med importerede varer, der fremstilles i lav-omkostningslande med lavere energiafgifter, selv om dette forslag L108 isoleret set vil i</w:t>
            </w:r>
            <w:r w:rsidRPr="001F4CEA">
              <w:rPr>
                <w:sz w:val="22"/>
                <w:szCs w:val="22"/>
              </w:rPr>
              <w:t>n</w:t>
            </w:r>
            <w:r w:rsidRPr="001F4CEA">
              <w:rPr>
                <w:sz w:val="22"/>
                <w:szCs w:val="22"/>
              </w:rPr>
              <w:t>debære en ubetydelig afgiftslettelse for ene</w:t>
            </w:r>
            <w:r w:rsidRPr="001F4CEA">
              <w:rPr>
                <w:sz w:val="22"/>
                <w:szCs w:val="22"/>
              </w:rPr>
              <w:t>r</w:t>
            </w:r>
            <w:r w:rsidRPr="001F4CEA">
              <w:rPr>
                <w:sz w:val="22"/>
                <w:szCs w:val="22"/>
              </w:rPr>
              <w:t>gi an</w:t>
            </w:r>
            <w:r w:rsidR="00F3527C" w:rsidRPr="001F4CEA">
              <w:rPr>
                <w:sz w:val="22"/>
                <w:szCs w:val="22"/>
              </w:rPr>
              <w:t xml:space="preserve">vendt til proces. </w:t>
            </w:r>
            <w:r w:rsidRPr="001F4CEA">
              <w:rPr>
                <w:sz w:val="22"/>
                <w:szCs w:val="22"/>
              </w:rPr>
              <w:t xml:space="preserve"> </w:t>
            </w:r>
          </w:p>
          <w:p w:rsidR="00F3527C" w:rsidRPr="001F4CEA" w:rsidRDefault="0065594F" w:rsidP="0065594F">
            <w:pPr>
              <w:rPr>
                <w:sz w:val="22"/>
                <w:szCs w:val="22"/>
              </w:rPr>
            </w:pPr>
            <w:r w:rsidRPr="001F4CEA">
              <w:rPr>
                <w:sz w:val="22"/>
                <w:szCs w:val="22"/>
              </w:rPr>
              <w:t>Energiafgifternes kompleksitet og hyppige ændringer af afgiftsniveauet er et lige så stort problem. Begge dele gør, at det er næsten umuligt for en virksomhed at gennemføre en beregning af de økonomiske konsekvenser af en mulig investering i energi- og miljøfo</w:t>
            </w:r>
            <w:r w:rsidRPr="001F4CEA">
              <w:rPr>
                <w:sz w:val="22"/>
                <w:szCs w:val="22"/>
              </w:rPr>
              <w:t>r</w:t>
            </w:r>
            <w:r w:rsidRPr="001F4CEA">
              <w:rPr>
                <w:sz w:val="22"/>
                <w:szCs w:val="22"/>
              </w:rPr>
              <w:t>bedringer, eller at have vished for, at de øk</w:t>
            </w:r>
            <w:r w:rsidRPr="001F4CEA">
              <w:rPr>
                <w:sz w:val="22"/>
                <w:szCs w:val="22"/>
              </w:rPr>
              <w:t>o</w:t>
            </w:r>
            <w:r w:rsidRPr="001F4CEA">
              <w:rPr>
                <w:sz w:val="22"/>
                <w:szCs w:val="22"/>
              </w:rPr>
              <w:t>nomiske beregninger holder blot nogle få år frem. Der er ganske enkelt for stor usikke</w:t>
            </w:r>
            <w:r w:rsidRPr="001F4CEA">
              <w:rPr>
                <w:sz w:val="22"/>
                <w:szCs w:val="22"/>
              </w:rPr>
              <w:t>r</w:t>
            </w:r>
            <w:r w:rsidRPr="001F4CEA">
              <w:rPr>
                <w:sz w:val="22"/>
                <w:szCs w:val="22"/>
              </w:rPr>
              <w:t>hed om de økonomiske konsekvenser og dermed for stor risiko forbundet med invest</w:t>
            </w:r>
            <w:r w:rsidRPr="001F4CEA">
              <w:rPr>
                <w:sz w:val="22"/>
                <w:szCs w:val="22"/>
              </w:rPr>
              <w:t>e</w:t>
            </w:r>
            <w:r w:rsidRPr="001F4CEA">
              <w:rPr>
                <w:sz w:val="22"/>
                <w:szCs w:val="22"/>
              </w:rPr>
              <w:t xml:space="preserve">ringen, hvorfor den ikke gennemføres. </w:t>
            </w:r>
          </w:p>
          <w:p w:rsidR="0065594F" w:rsidRPr="001F4CEA" w:rsidRDefault="0065594F" w:rsidP="0065594F">
            <w:pPr>
              <w:rPr>
                <w:sz w:val="22"/>
                <w:szCs w:val="22"/>
              </w:rPr>
            </w:pPr>
            <w:r w:rsidRPr="001F4CEA">
              <w:rPr>
                <w:sz w:val="22"/>
                <w:szCs w:val="22"/>
              </w:rPr>
              <w:t>Reglernes kompleksitet og den stadige usi</w:t>
            </w:r>
            <w:r w:rsidRPr="001F4CEA">
              <w:rPr>
                <w:sz w:val="22"/>
                <w:szCs w:val="22"/>
              </w:rPr>
              <w:t>k</w:t>
            </w:r>
            <w:r w:rsidRPr="001F4CEA">
              <w:rPr>
                <w:sz w:val="22"/>
                <w:szCs w:val="22"/>
              </w:rPr>
              <w:t>kerhed om afgifternes niveau er dermed i sig selv en hindring for, at der i Danmark ge</w:t>
            </w:r>
            <w:r w:rsidRPr="001F4CEA">
              <w:rPr>
                <w:sz w:val="22"/>
                <w:szCs w:val="22"/>
              </w:rPr>
              <w:t>n</w:t>
            </w:r>
            <w:r w:rsidRPr="001F4CEA">
              <w:rPr>
                <w:sz w:val="22"/>
                <w:szCs w:val="22"/>
              </w:rPr>
              <w:t>nemføres større investeringer i energirigtige løsninger. Tilbage er kun mindre investeri</w:t>
            </w:r>
            <w:r w:rsidRPr="001F4CEA">
              <w:rPr>
                <w:sz w:val="22"/>
                <w:szCs w:val="22"/>
              </w:rPr>
              <w:t>n</w:t>
            </w:r>
            <w:r w:rsidRPr="001F4CEA">
              <w:rPr>
                <w:sz w:val="22"/>
                <w:szCs w:val="22"/>
              </w:rPr>
              <w:t>ger i mindre energiforbedringer, der har en meget kort tilbagebetalingstid på fx under 1 år, og i stedet flyttes de større investeringer - og dermed arbejdspladser og energi- og mi</w:t>
            </w:r>
            <w:r w:rsidRPr="001F4CEA">
              <w:rPr>
                <w:sz w:val="22"/>
                <w:szCs w:val="22"/>
              </w:rPr>
              <w:t>l</w:t>
            </w:r>
            <w:r w:rsidRPr="001F4CEA">
              <w:rPr>
                <w:sz w:val="22"/>
                <w:szCs w:val="22"/>
              </w:rPr>
              <w:t>jøforbedringer - til selskaber i andre lande, hvor der er større sikkerhed om afgiftsn</w:t>
            </w:r>
            <w:r w:rsidRPr="001F4CEA">
              <w:rPr>
                <w:sz w:val="22"/>
                <w:szCs w:val="22"/>
              </w:rPr>
              <w:t>i</w:t>
            </w:r>
            <w:r w:rsidRPr="001F4CEA">
              <w:rPr>
                <w:sz w:val="22"/>
                <w:szCs w:val="22"/>
              </w:rPr>
              <w:t>veauet og tidshorisonten.</w:t>
            </w:r>
          </w:p>
          <w:p w:rsidR="0065594F" w:rsidRPr="001F4CEA" w:rsidRDefault="0065594F" w:rsidP="0065594F">
            <w:pPr>
              <w:rPr>
                <w:sz w:val="22"/>
                <w:szCs w:val="22"/>
              </w:rPr>
            </w:pPr>
            <w:r w:rsidRPr="001F4CEA">
              <w:rPr>
                <w:sz w:val="22"/>
                <w:szCs w:val="22"/>
              </w:rPr>
              <w:t>Fase 2 med at indføre en forsyningssikke</w:t>
            </w:r>
            <w:r w:rsidRPr="001F4CEA">
              <w:rPr>
                <w:sz w:val="22"/>
                <w:szCs w:val="22"/>
              </w:rPr>
              <w:t>r</w:t>
            </w:r>
            <w:r w:rsidRPr="001F4CEA">
              <w:rPr>
                <w:sz w:val="22"/>
                <w:szCs w:val="22"/>
              </w:rPr>
              <w:t>hedsafgift på biomasse er endnu et eksempel. Først tilskyndes virksomheder til at investere i en omlægning fra fossile brændsler til mere energirigtige løsninger som fx biomasse, og når omlægningen er sat i gang indføres en ny afgift, der så kan vælte det økonomiske grundlag for investeringen. For at undgå en sådan risiko vil virksomhederne være tilb</w:t>
            </w:r>
            <w:r w:rsidRPr="001F4CEA">
              <w:rPr>
                <w:sz w:val="22"/>
                <w:szCs w:val="22"/>
              </w:rPr>
              <w:t>a</w:t>
            </w:r>
            <w:r w:rsidRPr="001F4CEA">
              <w:rPr>
                <w:sz w:val="22"/>
                <w:szCs w:val="22"/>
              </w:rPr>
              <w:t>geholdende med at omlægge til biomasse. Når virksomhederne hverken kender afgift</w:t>
            </w:r>
            <w:r w:rsidRPr="001F4CEA">
              <w:rPr>
                <w:sz w:val="22"/>
                <w:szCs w:val="22"/>
              </w:rPr>
              <w:t>s</w:t>
            </w:r>
            <w:r w:rsidRPr="001F4CEA">
              <w:rPr>
                <w:sz w:val="22"/>
                <w:szCs w:val="22"/>
              </w:rPr>
              <w:t>niveauet, eller afgiftsniveauet sættes så højt, at det kan vælte det økonomiske grundlag for en planlagt investering i en energirigtig o</w:t>
            </w:r>
            <w:r w:rsidRPr="001F4CEA">
              <w:rPr>
                <w:sz w:val="22"/>
                <w:szCs w:val="22"/>
              </w:rPr>
              <w:t>m</w:t>
            </w:r>
            <w:r w:rsidRPr="001F4CEA">
              <w:rPr>
                <w:sz w:val="22"/>
                <w:szCs w:val="22"/>
              </w:rPr>
              <w:t>lægning, så gennemføres investeringen ikke, eller den bliver som minimum sat på hold. Konkret bliver større investeringer i en o</w:t>
            </w:r>
            <w:r w:rsidRPr="001F4CEA">
              <w:rPr>
                <w:sz w:val="22"/>
                <w:szCs w:val="22"/>
              </w:rPr>
              <w:t>m</w:t>
            </w:r>
            <w:r w:rsidRPr="001F4CEA">
              <w:rPr>
                <w:sz w:val="22"/>
                <w:szCs w:val="22"/>
              </w:rPr>
              <w:t>lægning til biomasse sat effektivt på hold på grund af usikkerhed om den afgiftsmæssige effekt, selv om der i bryggeribranchen er st</w:t>
            </w:r>
            <w:r w:rsidRPr="001F4CEA">
              <w:rPr>
                <w:sz w:val="22"/>
                <w:szCs w:val="22"/>
              </w:rPr>
              <w:t>o</w:t>
            </w:r>
            <w:r w:rsidRPr="001F4CEA">
              <w:rPr>
                <w:sz w:val="22"/>
                <w:szCs w:val="22"/>
              </w:rPr>
              <w:t>re potentialer i både spildevand og mask, der potentielt kunne dække mellem 30 – 70 pct. af branchens energibehov.</w:t>
            </w:r>
          </w:p>
        </w:tc>
        <w:tc>
          <w:tcPr>
            <w:tcW w:w="2991" w:type="dxa"/>
          </w:tcPr>
          <w:p w:rsidR="007B22E1" w:rsidRPr="001F4CEA" w:rsidRDefault="007B22E1" w:rsidP="007B22E1">
            <w:pPr>
              <w:rPr>
                <w:sz w:val="22"/>
                <w:szCs w:val="22"/>
              </w:rPr>
            </w:pPr>
            <w:r w:rsidRPr="00E1585C">
              <w:rPr>
                <w:i/>
                <w:sz w:val="22"/>
                <w:szCs w:val="22"/>
              </w:rPr>
              <w:t>Energiaftalen 2012</w:t>
            </w:r>
            <w:r w:rsidRPr="001F4CEA">
              <w:rPr>
                <w:sz w:val="22"/>
                <w:szCs w:val="22"/>
              </w:rPr>
              <w:t xml:space="preserve"> betyder bl.a., at rammerne for klima- og energipolitikken er fastsat frem til 2020.</w:t>
            </w:r>
          </w:p>
          <w:p w:rsidR="0065594F" w:rsidRPr="001F4CEA" w:rsidRDefault="007B22E1" w:rsidP="007B22E1">
            <w:pPr>
              <w:rPr>
                <w:sz w:val="22"/>
                <w:szCs w:val="22"/>
              </w:rPr>
            </w:pPr>
            <w:r w:rsidRPr="001F4CEA">
              <w:rPr>
                <w:sz w:val="22"/>
                <w:szCs w:val="22"/>
              </w:rPr>
              <w:t>Formålet med aftalen er at si</w:t>
            </w:r>
            <w:r w:rsidRPr="001F4CEA">
              <w:rPr>
                <w:sz w:val="22"/>
                <w:szCs w:val="22"/>
              </w:rPr>
              <w:t>k</w:t>
            </w:r>
            <w:r w:rsidRPr="001F4CEA">
              <w:rPr>
                <w:sz w:val="22"/>
                <w:szCs w:val="22"/>
              </w:rPr>
              <w:t>re en grøn omstilling med f</w:t>
            </w:r>
            <w:r w:rsidRPr="001F4CEA">
              <w:rPr>
                <w:sz w:val="22"/>
                <w:szCs w:val="22"/>
              </w:rPr>
              <w:t>o</w:t>
            </w:r>
            <w:r w:rsidRPr="001F4CEA">
              <w:rPr>
                <w:sz w:val="22"/>
                <w:szCs w:val="22"/>
              </w:rPr>
              <w:t xml:space="preserve">kus på at spare på energien i hele samfundet og få mere vedvarende energi i form af flere vindmøller, mere biogas og mere biomasse.  </w:t>
            </w:r>
          </w:p>
          <w:p w:rsidR="007E17F0" w:rsidRDefault="00281715" w:rsidP="007E17F0">
            <w:pPr>
              <w:rPr>
                <w:sz w:val="22"/>
                <w:szCs w:val="22"/>
              </w:rPr>
            </w:pPr>
            <w:r w:rsidRPr="001F4CEA">
              <w:rPr>
                <w:sz w:val="22"/>
                <w:szCs w:val="22"/>
              </w:rPr>
              <w:t>Udover at indføre en fors</w:t>
            </w:r>
            <w:r w:rsidRPr="001F4CEA">
              <w:rPr>
                <w:sz w:val="22"/>
                <w:szCs w:val="22"/>
              </w:rPr>
              <w:t>y</w:t>
            </w:r>
            <w:r w:rsidRPr="001F4CEA">
              <w:rPr>
                <w:sz w:val="22"/>
                <w:szCs w:val="22"/>
              </w:rPr>
              <w:t xml:space="preserve">ningssikkerhedsafgift på de </w:t>
            </w:r>
            <w:r w:rsidR="00C81ED1">
              <w:rPr>
                <w:sz w:val="22"/>
                <w:szCs w:val="22"/>
              </w:rPr>
              <w:t>fossile brændsler anvendt til ru</w:t>
            </w:r>
            <w:r w:rsidRPr="001F4CEA">
              <w:rPr>
                <w:sz w:val="22"/>
                <w:szCs w:val="22"/>
              </w:rPr>
              <w:t>mvarme indeholder forslaget ligeledes en lempelse for e</w:t>
            </w:r>
            <w:r w:rsidRPr="001F4CEA">
              <w:rPr>
                <w:sz w:val="22"/>
                <w:szCs w:val="22"/>
              </w:rPr>
              <w:t>r</w:t>
            </w:r>
            <w:r w:rsidRPr="001F4CEA">
              <w:rPr>
                <w:sz w:val="22"/>
                <w:szCs w:val="22"/>
              </w:rPr>
              <w:t>hvervene i form af en nedsæ</w:t>
            </w:r>
            <w:r w:rsidRPr="001F4CEA">
              <w:rPr>
                <w:sz w:val="22"/>
                <w:szCs w:val="22"/>
              </w:rPr>
              <w:t>t</w:t>
            </w:r>
            <w:r w:rsidRPr="001F4CEA">
              <w:rPr>
                <w:sz w:val="22"/>
                <w:szCs w:val="22"/>
              </w:rPr>
              <w:t xml:space="preserve">telse af energiafgifterne på el og brændsler til proces. </w:t>
            </w:r>
          </w:p>
          <w:p w:rsidR="007E17F0" w:rsidRDefault="000A789C" w:rsidP="007E17F0">
            <w:pPr>
              <w:rPr>
                <w:sz w:val="22"/>
                <w:szCs w:val="22"/>
              </w:rPr>
            </w:pPr>
            <w:r>
              <w:rPr>
                <w:sz w:val="22"/>
                <w:szCs w:val="22"/>
              </w:rPr>
              <w:t xml:space="preserve">Nedsættelsen i procesafgiften svarer i 2013 til ca. 225 mio. kr. og i 2015 til ca. 130 mio. kr. </w:t>
            </w:r>
          </w:p>
          <w:p w:rsidR="007E17F0" w:rsidRDefault="007E17F0" w:rsidP="007E17F0">
            <w:pPr>
              <w:rPr>
                <w:sz w:val="22"/>
                <w:szCs w:val="22"/>
              </w:rPr>
            </w:pPr>
          </w:p>
          <w:p w:rsidR="007E17F0" w:rsidRDefault="007E17F0" w:rsidP="007E17F0">
            <w:pPr>
              <w:rPr>
                <w:sz w:val="22"/>
                <w:szCs w:val="22"/>
              </w:rPr>
            </w:pPr>
          </w:p>
          <w:p w:rsidR="007E17F0" w:rsidRDefault="007E17F0" w:rsidP="007E17F0">
            <w:pPr>
              <w:rPr>
                <w:sz w:val="22"/>
                <w:szCs w:val="22"/>
              </w:rPr>
            </w:pPr>
          </w:p>
          <w:p w:rsidR="007E17F0" w:rsidRDefault="007E17F0" w:rsidP="007E17F0">
            <w:pPr>
              <w:rPr>
                <w:sz w:val="22"/>
                <w:szCs w:val="22"/>
              </w:rPr>
            </w:pPr>
          </w:p>
          <w:p w:rsidR="007E17F0" w:rsidRDefault="007E17F0" w:rsidP="007E17F0">
            <w:pPr>
              <w:rPr>
                <w:sz w:val="22"/>
                <w:szCs w:val="22"/>
              </w:rPr>
            </w:pPr>
          </w:p>
          <w:p w:rsidR="007E17F0" w:rsidRDefault="007E17F0" w:rsidP="007E17F0">
            <w:pPr>
              <w:rPr>
                <w:sz w:val="22"/>
                <w:szCs w:val="22"/>
              </w:rPr>
            </w:pPr>
          </w:p>
          <w:p w:rsidR="000A789C" w:rsidRDefault="000A789C" w:rsidP="007E17F0">
            <w:pPr>
              <w:rPr>
                <w:sz w:val="22"/>
                <w:szCs w:val="22"/>
              </w:rPr>
            </w:pPr>
          </w:p>
          <w:p w:rsidR="007E17F0" w:rsidRPr="007E17F0" w:rsidRDefault="007E17F0" w:rsidP="007E17F0">
            <w:pPr>
              <w:rPr>
                <w:sz w:val="22"/>
                <w:szCs w:val="22"/>
              </w:rPr>
            </w:pPr>
            <w:r w:rsidRPr="007E17F0">
              <w:rPr>
                <w:sz w:val="22"/>
                <w:szCs w:val="22"/>
              </w:rPr>
              <w:t xml:space="preserve">Som det fremgår af </w:t>
            </w:r>
            <w:r w:rsidRPr="008C5F80">
              <w:rPr>
                <w:i/>
                <w:sz w:val="22"/>
                <w:szCs w:val="22"/>
              </w:rPr>
              <w:t>Energiaft</w:t>
            </w:r>
            <w:r w:rsidRPr="008C5F80">
              <w:rPr>
                <w:i/>
                <w:sz w:val="22"/>
                <w:szCs w:val="22"/>
              </w:rPr>
              <w:t>a</w:t>
            </w:r>
            <w:r w:rsidRPr="008C5F80">
              <w:rPr>
                <w:i/>
                <w:sz w:val="22"/>
                <w:szCs w:val="22"/>
              </w:rPr>
              <w:t xml:space="preserve">len 2012 </w:t>
            </w:r>
            <w:r w:rsidRPr="007E17F0">
              <w:rPr>
                <w:sz w:val="22"/>
                <w:szCs w:val="22"/>
              </w:rPr>
              <w:t>pålægges forsyning</w:t>
            </w:r>
            <w:r w:rsidRPr="007E17F0">
              <w:rPr>
                <w:sz w:val="22"/>
                <w:szCs w:val="22"/>
              </w:rPr>
              <w:t>s</w:t>
            </w:r>
            <w:r w:rsidRPr="007E17F0">
              <w:rPr>
                <w:sz w:val="22"/>
                <w:szCs w:val="22"/>
              </w:rPr>
              <w:t>sikkerhedsafgiften al rumva</w:t>
            </w:r>
            <w:r w:rsidRPr="007E17F0">
              <w:rPr>
                <w:sz w:val="22"/>
                <w:szCs w:val="22"/>
              </w:rPr>
              <w:t>r</w:t>
            </w:r>
            <w:r w:rsidRPr="007E17F0">
              <w:rPr>
                <w:sz w:val="22"/>
                <w:szCs w:val="22"/>
              </w:rPr>
              <w:t>me, dvs. rumvarme fra såvel fossile brændsler som bioma</w:t>
            </w:r>
            <w:r w:rsidRPr="007E17F0">
              <w:rPr>
                <w:sz w:val="22"/>
                <w:szCs w:val="22"/>
              </w:rPr>
              <w:t>s</w:t>
            </w:r>
            <w:r w:rsidRPr="007E17F0">
              <w:rPr>
                <w:sz w:val="22"/>
                <w:szCs w:val="22"/>
              </w:rPr>
              <w:t xml:space="preserve">se, og træder i kraft i 2013. </w:t>
            </w:r>
          </w:p>
          <w:p w:rsidR="007E17F0" w:rsidRPr="007E17F0" w:rsidRDefault="007E17F0" w:rsidP="007E17F0">
            <w:pPr>
              <w:rPr>
                <w:sz w:val="22"/>
                <w:szCs w:val="22"/>
              </w:rPr>
            </w:pPr>
            <w:r w:rsidRPr="007E17F0">
              <w:rPr>
                <w:sz w:val="22"/>
                <w:szCs w:val="22"/>
              </w:rPr>
              <w:t>Dog gælder det for biomassen, at der er tale om et nyt afgift</w:t>
            </w:r>
            <w:r w:rsidRPr="007E17F0">
              <w:rPr>
                <w:sz w:val="22"/>
                <w:szCs w:val="22"/>
              </w:rPr>
              <w:t>s</w:t>
            </w:r>
            <w:r w:rsidRPr="007E17F0">
              <w:rPr>
                <w:sz w:val="22"/>
                <w:szCs w:val="22"/>
              </w:rPr>
              <w:t>grundlag, hvorfor den må u</w:t>
            </w:r>
            <w:r w:rsidRPr="007E17F0">
              <w:rPr>
                <w:sz w:val="22"/>
                <w:szCs w:val="22"/>
              </w:rPr>
              <w:t>d</w:t>
            </w:r>
            <w:r w:rsidRPr="007E17F0">
              <w:rPr>
                <w:sz w:val="22"/>
                <w:szCs w:val="22"/>
              </w:rPr>
              <w:t>formes under hensyn til EU’s diskriminations- og statsstøtt</w:t>
            </w:r>
            <w:r w:rsidRPr="007E17F0">
              <w:rPr>
                <w:sz w:val="22"/>
                <w:szCs w:val="22"/>
              </w:rPr>
              <w:t>e</w:t>
            </w:r>
            <w:r w:rsidRPr="007E17F0">
              <w:rPr>
                <w:sz w:val="22"/>
                <w:szCs w:val="22"/>
              </w:rPr>
              <w:t>regler og sen</w:t>
            </w:r>
            <w:r>
              <w:rPr>
                <w:sz w:val="22"/>
                <w:szCs w:val="22"/>
              </w:rPr>
              <w:t xml:space="preserve">est skal træde i kraft i 2014. </w:t>
            </w:r>
          </w:p>
          <w:p w:rsidR="00C16375" w:rsidRPr="001F4CEA" w:rsidRDefault="007E17F0" w:rsidP="007E17F0">
            <w:pPr>
              <w:rPr>
                <w:sz w:val="22"/>
                <w:szCs w:val="22"/>
              </w:rPr>
            </w:pPr>
            <w:r w:rsidRPr="007E17F0">
              <w:rPr>
                <w:sz w:val="22"/>
                <w:szCs w:val="22"/>
              </w:rPr>
              <w:t xml:space="preserve">Ved </w:t>
            </w:r>
            <w:r>
              <w:rPr>
                <w:sz w:val="22"/>
                <w:szCs w:val="22"/>
              </w:rPr>
              <w:t xml:space="preserve">dette </w:t>
            </w:r>
            <w:r w:rsidR="00F93175">
              <w:rPr>
                <w:sz w:val="22"/>
                <w:szCs w:val="22"/>
              </w:rPr>
              <w:t>lovforslag</w:t>
            </w:r>
            <w:r w:rsidRPr="007E17F0">
              <w:rPr>
                <w:sz w:val="22"/>
                <w:szCs w:val="22"/>
              </w:rPr>
              <w:t xml:space="preserve"> ændres der ikke på dette forløb.</w:t>
            </w:r>
          </w:p>
          <w:p w:rsidR="00C16375" w:rsidRPr="001F4CEA" w:rsidRDefault="00C16375" w:rsidP="007B22E1">
            <w:pPr>
              <w:rPr>
                <w:sz w:val="22"/>
                <w:szCs w:val="22"/>
              </w:rPr>
            </w:pPr>
          </w:p>
          <w:p w:rsidR="00C16375" w:rsidRPr="001F4CEA" w:rsidRDefault="00C16375" w:rsidP="007B22E1">
            <w:pPr>
              <w:rPr>
                <w:sz w:val="22"/>
                <w:szCs w:val="22"/>
              </w:rPr>
            </w:pPr>
          </w:p>
          <w:p w:rsidR="00C16375" w:rsidRPr="001F4CEA" w:rsidRDefault="00C16375" w:rsidP="007B22E1">
            <w:pPr>
              <w:rPr>
                <w:sz w:val="22"/>
                <w:szCs w:val="22"/>
              </w:rPr>
            </w:pPr>
          </w:p>
          <w:p w:rsidR="00C16375" w:rsidRPr="001F4CEA" w:rsidRDefault="00C16375" w:rsidP="007B22E1">
            <w:pPr>
              <w:rPr>
                <w:sz w:val="22"/>
                <w:szCs w:val="22"/>
              </w:rPr>
            </w:pPr>
          </w:p>
        </w:tc>
      </w:tr>
      <w:tr w:rsidR="00E12A5D" w:rsidRPr="001F4CEA" w:rsidTr="00A56C38">
        <w:tc>
          <w:tcPr>
            <w:tcW w:w="1809" w:type="dxa"/>
          </w:tcPr>
          <w:p w:rsidR="00E12A5D" w:rsidRPr="001F4CEA" w:rsidRDefault="00AA1EFE">
            <w:pPr>
              <w:rPr>
                <w:sz w:val="22"/>
                <w:szCs w:val="22"/>
              </w:rPr>
            </w:pPr>
            <w:r w:rsidRPr="001F4CEA">
              <w:rPr>
                <w:sz w:val="22"/>
                <w:szCs w:val="22"/>
              </w:rPr>
              <w:t>Dansk Arbejd</w:t>
            </w:r>
            <w:r w:rsidRPr="001F4CEA">
              <w:rPr>
                <w:sz w:val="22"/>
                <w:szCs w:val="22"/>
              </w:rPr>
              <w:t>s</w:t>
            </w:r>
            <w:r w:rsidRPr="001F4CEA">
              <w:rPr>
                <w:sz w:val="22"/>
                <w:szCs w:val="22"/>
              </w:rPr>
              <w:t>giverforening (DA)</w:t>
            </w:r>
          </w:p>
        </w:tc>
        <w:tc>
          <w:tcPr>
            <w:tcW w:w="4245" w:type="dxa"/>
          </w:tcPr>
          <w:p w:rsidR="00E12A5D" w:rsidRPr="001F4CEA" w:rsidRDefault="00AA1EFE">
            <w:pPr>
              <w:rPr>
                <w:sz w:val="22"/>
                <w:szCs w:val="22"/>
              </w:rPr>
            </w:pPr>
            <w:r w:rsidRPr="001F4CEA">
              <w:rPr>
                <w:sz w:val="22"/>
                <w:szCs w:val="22"/>
              </w:rPr>
              <w:t xml:space="preserve">DA har ingen bemærkninger. </w:t>
            </w:r>
          </w:p>
        </w:tc>
        <w:tc>
          <w:tcPr>
            <w:tcW w:w="2991" w:type="dxa"/>
          </w:tcPr>
          <w:p w:rsidR="00E12A5D" w:rsidRPr="001F4CEA" w:rsidRDefault="00E12A5D">
            <w:pPr>
              <w:rPr>
                <w:sz w:val="22"/>
                <w:szCs w:val="22"/>
              </w:rPr>
            </w:pPr>
          </w:p>
        </w:tc>
      </w:tr>
      <w:tr w:rsidR="00FC7C92" w:rsidRPr="001F4CEA" w:rsidTr="00A56C38">
        <w:tc>
          <w:tcPr>
            <w:tcW w:w="1809" w:type="dxa"/>
          </w:tcPr>
          <w:p w:rsidR="00FC7C92" w:rsidRPr="001F4CEA" w:rsidRDefault="00AE3FD8">
            <w:pPr>
              <w:rPr>
                <w:sz w:val="22"/>
                <w:szCs w:val="22"/>
              </w:rPr>
            </w:pPr>
            <w:r w:rsidRPr="001F4CEA">
              <w:rPr>
                <w:sz w:val="22"/>
                <w:szCs w:val="22"/>
              </w:rPr>
              <w:t>Dansk Affald</w:t>
            </w:r>
            <w:r w:rsidRPr="001F4CEA">
              <w:rPr>
                <w:sz w:val="22"/>
                <w:szCs w:val="22"/>
              </w:rPr>
              <w:t>s</w:t>
            </w:r>
            <w:r w:rsidRPr="001F4CEA">
              <w:rPr>
                <w:sz w:val="22"/>
                <w:szCs w:val="22"/>
              </w:rPr>
              <w:t xml:space="preserve">forening </w:t>
            </w:r>
          </w:p>
        </w:tc>
        <w:tc>
          <w:tcPr>
            <w:tcW w:w="4245" w:type="dxa"/>
          </w:tcPr>
          <w:p w:rsidR="00FC7C92" w:rsidRPr="001F4CEA" w:rsidRDefault="00AE3FD8">
            <w:pPr>
              <w:rPr>
                <w:sz w:val="22"/>
                <w:szCs w:val="22"/>
              </w:rPr>
            </w:pPr>
            <w:r w:rsidRPr="001F4CEA">
              <w:rPr>
                <w:sz w:val="22"/>
                <w:szCs w:val="22"/>
              </w:rPr>
              <w:t xml:space="preserve">Dansk Affaldsforening </w:t>
            </w:r>
            <w:r w:rsidR="00B05038" w:rsidRPr="001F4CEA">
              <w:rPr>
                <w:sz w:val="22"/>
                <w:szCs w:val="22"/>
              </w:rPr>
              <w:t>anfører, at særligt i forhold til forbrændingsanlæg er det et pr</w:t>
            </w:r>
            <w:r w:rsidR="00B05038" w:rsidRPr="001F4CEA">
              <w:rPr>
                <w:sz w:val="22"/>
                <w:szCs w:val="22"/>
              </w:rPr>
              <w:t>o</w:t>
            </w:r>
            <w:r w:rsidR="00B05038" w:rsidRPr="001F4CEA">
              <w:rPr>
                <w:sz w:val="22"/>
                <w:szCs w:val="22"/>
              </w:rPr>
              <w:t>blem, at afgiftsforhøjelsen sker med kort va</w:t>
            </w:r>
            <w:r w:rsidR="00B05038" w:rsidRPr="001F4CEA">
              <w:rPr>
                <w:sz w:val="22"/>
                <w:szCs w:val="22"/>
              </w:rPr>
              <w:t>r</w:t>
            </w:r>
            <w:r w:rsidR="00B05038" w:rsidRPr="001F4CEA">
              <w:rPr>
                <w:sz w:val="22"/>
                <w:szCs w:val="22"/>
              </w:rPr>
              <w:t>sel pga. den komplicerede varmeprisregul</w:t>
            </w:r>
            <w:r w:rsidR="00B05038" w:rsidRPr="001F4CEA">
              <w:rPr>
                <w:sz w:val="22"/>
                <w:szCs w:val="22"/>
              </w:rPr>
              <w:t>e</w:t>
            </w:r>
            <w:r w:rsidR="00B05038" w:rsidRPr="001F4CEA">
              <w:rPr>
                <w:sz w:val="22"/>
                <w:szCs w:val="22"/>
              </w:rPr>
              <w:t>ring. Ikrafttræden den 1. februar giver des</w:t>
            </w:r>
            <w:r w:rsidR="00B05038" w:rsidRPr="001F4CEA">
              <w:rPr>
                <w:sz w:val="22"/>
                <w:szCs w:val="22"/>
              </w:rPr>
              <w:t>u</w:t>
            </w:r>
            <w:r w:rsidR="00B05038" w:rsidRPr="001F4CEA">
              <w:rPr>
                <w:sz w:val="22"/>
                <w:szCs w:val="22"/>
              </w:rPr>
              <w:t>den en udfordring for alle anlæg, der skal ændre både budgettet og genberegne varm</w:t>
            </w:r>
            <w:r w:rsidR="00B05038" w:rsidRPr="001F4CEA">
              <w:rPr>
                <w:sz w:val="22"/>
                <w:szCs w:val="22"/>
              </w:rPr>
              <w:t>e</w:t>
            </w:r>
            <w:r w:rsidR="00B05038" w:rsidRPr="001F4CEA">
              <w:rPr>
                <w:sz w:val="22"/>
                <w:szCs w:val="22"/>
              </w:rPr>
              <w:t>priser.</w:t>
            </w:r>
          </w:p>
          <w:p w:rsidR="00B05038" w:rsidRPr="001F4CEA" w:rsidRDefault="00B05038">
            <w:pPr>
              <w:rPr>
                <w:sz w:val="22"/>
                <w:szCs w:val="22"/>
              </w:rPr>
            </w:pPr>
            <w:r w:rsidRPr="001F4CEA">
              <w:rPr>
                <w:sz w:val="22"/>
                <w:szCs w:val="22"/>
              </w:rPr>
              <w:t>For forbrændingsanlæg er varmepriserne ofte beregnet ud fra data fra det forudgående år</w:t>
            </w:r>
            <w:r w:rsidR="007158F4" w:rsidRPr="001F4CEA">
              <w:rPr>
                <w:sz w:val="22"/>
                <w:szCs w:val="22"/>
              </w:rPr>
              <w:t>. Det betyder i praksis, at en række forbræ</w:t>
            </w:r>
            <w:r w:rsidR="007158F4" w:rsidRPr="001F4CEA">
              <w:rPr>
                <w:sz w:val="22"/>
                <w:szCs w:val="22"/>
              </w:rPr>
              <w:t>n</w:t>
            </w:r>
            <w:r w:rsidR="007158F4" w:rsidRPr="001F4CEA">
              <w:rPr>
                <w:sz w:val="22"/>
                <w:szCs w:val="22"/>
              </w:rPr>
              <w:t>dingsanlæg ikke kan opkræve en afgiftssti</w:t>
            </w:r>
            <w:r w:rsidR="007158F4" w:rsidRPr="001F4CEA">
              <w:rPr>
                <w:sz w:val="22"/>
                <w:szCs w:val="22"/>
              </w:rPr>
              <w:t>g</w:t>
            </w:r>
            <w:r w:rsidR="007158F4" w:rsidRPr="001F4CEA">
              <w:rPr>
                <w:sz w:val="22"/>
                <w:szCs w:val="22"/>
              </w:rPr>
              <w:t>ning umiddelbart hos varmekunderne. A</w:t>
            </w:r>
            <w:r w:rsidR="007158F4" w:rsidRPr="001F4CEA">
              <w:rPr>
                <w:sz w:val="22"/>
                <w:szCs w:val="22"/>
              </w:rPr>
              <w:t>f</w:t>
            </w:r>
            <w:r w:rsidR="007158F4" w:rsidRPr="001F4CEA">
              <w:rPr>
                <w:sz w:val="22"/>
                <w:szCs w:val="22"/>
              </w:rPr>
              <w:t>giftsforhøjelsen kan tidligst pålægges varm</w:t>
            </w:r>
            <w:r w:rsidR="007158F4" w:rsidRPr="001F4CEA">
              <w:rPr>
                <w:sz w:val="22"/>
                <w:szCs w:val="22"/>
              </w:rPr>
              <w:t>e</w:t>
            </w:r>
            <w:r w:rsidR="007158F4" w:rsidRPr="001F4CEA">
              <w:rPr>
                <w:sz w:val="22"/>
                <w:szCs w:val="22"/>
              </w:rPr>
              <w:t>priserne året efter – med ekstraordinære høje priser til følge.</w:t>
            </w:r>
          </w:p>
          <w:p w:rsidR="007158F4" w:rsidRPr="001F4CEA" w:rsidRDefault="007158F4">
            <w:pPr>
              <w:rPr>
                <w:sz w:val="22"/>
                <w:szCs w:val="22"/>
              </w:rPr>
            </w:pPr>
            <w:r w:rsidRPr="001F4CEA">
              <w:rPr>
                <w:sz w:val="22"/>
                <w:szCs w:val="22"/>
              </w:rPr>
              <w:t>Der er netop udmeldt nye varmeprislofter, der ikke tager højde for denne afgiftsstigning. Dette varmeprisloft bør revideres allerede nu, så der tages højde for afgiftsstigningen. A</w:t>
            </w:r>
            <w:r w:rsidRPr="001F4CEA">
              <w:rPr>
                <w:sz w:val="22"/>
                <w:szCs w:val="22"/>
              </w:rPr>
              <w:t>l</w:t>
            </w:r>
            <w:r w:rsidRPr="001F4CEA">
              <w:rPr>
                <w:sz w:val="22"/>
                <w:szCs w:val="22"/>
              </w:rPr>
              <w:t>ternativt skal forbrændingsanlæggene hver især søge om dispensation fra gældende va</w:t>
            </w:r>
            <w:r w:rsidRPr="001F4CEA">
              <w:rPr>
                <w:sz w:val="22"/>
                <w:szCs w:val="22"/>
              </w:rPr>
              <w:t>r</w:t>
            </w:r>
            <w:r w:rsidRPr="001F4CEA">
              <w:rPr>
                <w:sz w:val="22"/>
                <w:szCs w:val="22"/>
              </w:rPr>
              <w:t xml:space="preserve">meprisloft. </w:t>
            </w:r>
          </w:p>
          <w:p w:rsidR="007158F4" w:rsidRPr="001F4CEA" w:rsidRDefault="007158F4" w:rsidP="007158F4">
            <w:pPr>
              <w:rPr>
                <w:sz w:val="22"/>
                <w:szCs w:val="22"/>
              </w:rPr>
            </w:pPr>
            <w:r w:rsidRPr="001F4CEA">
              <w:rPr>
                <w:sz w:val="22"/>
                <w:szCs w:val="22"/>
              </w:rPr>
              <w:t>Det anbefales, at ikrafttrædelsen på fors</w:t>
            </w:r>
            <w:r w:rsidRPr="001F4CEA">
              <w:rPr>
                <w:sz w:val="22"/>
                <w:szCs w:val="22"/>
              </w:rPr>
              <w:t>y</w:t>
            </w:r>
            <w:r w:rsidRPr="001F4CEA">
              <w:rPr>
                <w:sz w:val="22"/>
                <w:szCs w:val="22"/>
              </w:rPr>
              <w:t>ningssikkerhedsafgiften på affaldsvarme u</w:t>
            </w:r>
            <w:r w:rsidRPr="001F4CEA">
              <w:rPr>
                <w:sz w:val="22"/>
                <w:szCs w:val="22"/>
              </w:rPr>
              <w:t>d</w:t>
            </w:r>
            <w:r w:rsidRPr="001F4CEA">
              <w:rPr>
                <w:sz w:val="22"/>
                <w:szCs w:val="22"/>
              </w:rPr>
              <w:t>sættes til ikrafttræden samtidig med ikraf</w:t>
            </w:r>
            <w:r w:rsidRPr="001F4CEA">
              <w:rPr>
                <w:sz w:val="22"/>
                <w:szCs w:val="22"/>
              </w:rPr>
              <w:t>t</w:t>
            </w:r>
            <w:r w:rsidRPr="001F4CEA">
              <w:rPr>
                <w:sz w:val="22"/>
                <w:szCs w:val="22"/>
              </w:rPr>
              <w:t xml:space="preserve">trædelse af forsyningssikkerhedsafgiften på biomasse. </w:t>
            </w:r>
          </w:p>
          <w:p w:rsidR="007158F4" w:rsidRPr="001F4CEA" w:rsidRDefault="007158F4" w:rsidP="007158F4">
            <w:pPr>
              <w:rPr>
                <w:sz w:val="22"/>
                <w:szCs w:val="22"/>
              </w:rPr>
            </w:pPr>
            <w:r w:rsidRPr="001F4CEA">
              <w:rPr>
                <w:sz w:val="22"/>
                <w:szCs w:val="22"/>
              </w:rPr>
              <w:t>Med lovforslaget forhøjes afgifterne på foss</w:t>
            </w:r>
            <w:r w:rsidRPr="001F4CEA">
              <w:rPr>
                <w:sz w:val="22"/>
                <w:szCs w:val="22"/>
              </w:rPr>
              <w:t>i</w:t>
            </w:r>
            <w:r w:rsidRPr="001F4CEA">
              <w:rPr>
                <w:sz w:val="22"/>
                <w:szCs w:val="22"/>
              </w:rPr>
              <w:t>le brændsler med 16,6 pct. I praksis bliver affaldsvarmeafgiften dog forhøjet med 35 pct. Dette skyldes, at tillægsafgiften, der skal pålignes affaldskunderne, medregnes i a</w:t>
            </w:r>
            <w:r w:rsidRPr="001F4CEA">
              <w:rPr>
                <w:sz w:val="22"/>
                <w:szCs w:val="22"/>
              </w:rPr>
              <w:t>f</w:t>
            </w:r>
            <w:r w:rsidRPr="001F4CEA">
              <w:rPr>
                <w:sz w:val="22"/>
                <w:szCs w:val="22"/>
              </w:rPr>
              <w:t>giftsforhøjelsen. Det vigtigste er dog, at den konkrete stigning på 8,4 kr./GJ (2013) på a</w:t>
            </w:r>
            <w:r w:rsidRPr="001F4CEA">
              <w:rPr>
                <w:sz w:val="22"/>
                <w:szCs w:val="22"/>
              </w:rPr>
              <w:t>f</w:t>
            </w:r>
            <w:r w:rsidRPr="001F4CEA">
              <w:rPr>
                <w:sz w:val="22"/>
                <w:szCs w:val="22"/>
              </w:rPr>
              <w:t xml:space="preserve">faldsvarmen svarer til afgiftsstigningen på de øvrige fossile brændsler. </w:t>
            </w:r>
          </w:p>
          <w:p w:rsidR="007158F4" w:rsidRPr="001F4CEA" w:rsidRDefault="007158F4" w:rsidP="007158F4">
            <w:pPr>
              <w:rPr>
                <w:sz w:val="22"/>
                <w:szCs w:val="22"/>
              </w:rPr>
            </w:pPr>
            <w:r w:rsidRPr="001F4CEA">
              <w:rPr>
                <w:sz w:val="22"/>
                <w:szCs w:val="22"/>
              </w:rPr>
              <w:t>I sidste ende er det væsentligt, at afgiftsfo</w:t>
            </w:r>
            <w:r w:rsidRPr="001F4CEA">
              <w:rPr>
                <w:sz w:val="22"/>
                <w:szCs w:val="22"/>
              </w:rPr>
              <w:t>r</w:t>
            </w:r>
            <w:r w:rsidRPr="001F4CEA">
              <w:rPr>
                <w:sz w:val="22"/>
                <w:szCs w:val="22"/>
              </w:rPr>
              <w:t>højelsen i forhold til den endelige varmepris også vil ligge på samme niveau for de fo</w:t>
            </w:r>
            <w:r w:rsidRPr="001F4CEA">
              <w:rPr>
                <w:sz w:val="22"/>
                <w:szCs w:val="22"/>
              </w:rPr>
              <w:t>r</w:t>
            </w:r>
            <w:r w:rsidRPr="001F4CEA">
              <w:rPr>
                <w:sz w:val="22"/>
                <w:szCs w:val="22"/>
              </w:rPr>
              <w:t xml:space="preserve">skellige brændsler. </w:t>
            </w:r>
          </w:p>
          <w:p w:rsidR="007158F4" w:rsidRPr="001F4CEA" w:rsidRDefault="007158F4" w:rsidP="007158F4">
            <w:pPr>
              <w:rPr>
                <w:sz w:val="22"/>
                <w:szCs w:val="22"/>
              </w:rPr>
            </w:pPr>
            <w:r w:rsidRPr="001F4CEA">
              <w:rPr>
                <w:sz w:val="22"/>
                <w:szCs w:val="22"/>
              </w:rPr>
              <w:t>Generelt mener Dansk Affald, at der er brug for en justering af afgifterne ved forbrænding af affald for at sikre et mere ensartet afgift</w:t>
            </w:r>
            <w:r w:rsidRPr="001F4CEA">
              <w:rPr>
                <w:sz w:val="22"/>
                <w:szCs w:val="22"/>
              </w:rPr>
              <w:t>s</w:t>
            </w:r>
            <w:r w:rsidRPr="001F4CEA">
              <w:rPr>
                <w:sz w:val="22"/>
                <w:szCs w:val="22"/>
              </w:rPr>
              <w:t>tryk på affald som brændsel i forhold til a</w:t>
            </w:r>
            <w:r w:rsidRPr="001F4CEA">
              <w:rPr>
                <w:sz w:val="22"/>
                <w:szCs w:val="22"/>
              </w:rPr>
              <w:t>n</w:t>
            </w:r>
            <w:r w:rsidRPr="001F4CEA">
              <w:rPr>
                <w:sz w:val="22"/>
                <w:szCs w:val="22"/>
              </w:rPr>
              <w:t>dre brændsler og i forhold til forbrænding</w:t>
            </w:r>
            <w:r w:rsidRPr="001F4CEA">
              <w:rPr>
                <w:sz w:val="22"/>
                <w:szCs w:val="22"/>
              </w:rPr>
              <w:t>s</w:t>
            </w:r>
            <w:r w:rsidRPr="001F4CEA">
              <w:rPr>
                <w:sz w:val="22"/>
                <w:szCs w:val="22"/>
              </w:rPr>
              <w:t xml:space="preserve">anlæg i udlandet. </w:t>
            </w:r>
          </w:p>
          <w:p w:rsidR="007158F4" w:rsidRPr="001F4CEA" w:rsidRDefault="007158F4" w:rsidP="007158F4">
            <w:pPr>
              <w:rPr>
                <w:sz w:val="22"/>
                <w:szCs w:val="22"/>
              </w:rPr>
            </w:pPr>
            <w:r w:rsidRPr="001F4CEA">
              <w:rPr>
                <w:sz w:val="22"/>
                <w:szCs w:val="22"/>
              </w:rPr>
              <w:t>Forbrændingsanlæggene har siden 2009 o</w:t>
            </w:r>
            <w:r w:rsidRPr="001F4CEA">
              <w:rPr>
                <w:sz w:val="22"/>
                <w:szCs w:val="22"/>
              </w:rPr>
              <w:t>p</w:t>
            </w:r>
            <w:r w:rsidRPr="001F4CEA">
              <w:rPr>
                <w:sz w:val="22"/>
                <w:szCs w:val="22"/>
              </w:rPr>
              <w:t xml:space="preserve">levet et større afgiftstryk, hvilket negativt forrykker de danske anlægs konkurrenceevne </w:t>
            </w:r>
            <w:r w:rsidR="00A32A65" w:rsidRPr="001F4CEA">
              <w:rPr>
                <w:sz w:val="22"/>
                <w:szCs w:val="22"/>
              </w:rPr>
              <w:t xml:space="preserve">overfor anlæg i nabolandene. Dette gælder ikke mindst </w:t>
            </w:r>
            <w:r w:rsidR="001D26A1" w:rsidRPr="001F4CEA">
              <w:rPr>
                <w:sz w:val="22"/>
                <w:szCs w:val="22"/>
              </w:rPr>
              <w:t xml:space="preserve">omkostninger, der følger af, at danske forbrændingsanlæg er omfattet af den europæiske CO2-kvoteordning. </w:t>
            </w:r>
          </w:p>
          <w:p w:rsidR="001D26A1" w:rsidRPr="001F4CEA" w:rsidRDefault="001D26A1" w:rsidP="007158F4">
            <w:pPr>
              <w:rPr>
                <w:sz w:val="22"/>
                <w:szCs w:val="22"/>
              </w:rPr>
            </w:pPr>
            <w:r w:rsidRPr="001F4CEA">
              <w:rPr>
                <w:sz w:val="22"/>
                <w:szCs w:val="22"/>
              </w:rPr>
              <w:t>Der opfordres til, at indførelsen af fors</w:t>
            </w:r>
            <w:r w:rsidRPr="001F4CEA">
              <w:rPr>
                <w:sz w:val="22"/>
                <w:szCs w:val="22"/>
              </w:rPr>
              <w:t>y</w:t>
            </w:r>
            <w:r w:rsidRPr="001F4CEA">
              <w:rPr>
                <w:sz w:val="22"/>
                <w:szCs w:val="22"/>
              </w:rPr>
              <w:t>ningssikkerhedsafgiften på forbrændingsa</w:t>
            </w:r>
            <w:r w:rsidRPr="001F4CEA">
              <w:rPr>
                <w:sz w:val="22"/>
                <w:szCs w:val="22"/>
              </w:rPr>
              <w:t>n</w:t>
            </w:r>
            <w:r w:rsidRPr="001F4CEA">
              <w:rPr>
                <w:sz w:val="22"/>
                <w:szCs w:val="22"/>
              </w:rPr>
              <w:t>læg benyttes til at nedsætte det samlede a</w:t>
            </w:r>
            <w:r w:rsidRPr="001F4CEA">
              <w:rPr>
                <w:sz w:val="22"/>
                <w:szCs w:val="22"/>
              </w:rPr>
              <w:t>f</w:t>
            </w:r>
            <w:r w:rsidRPr="001F4CEA">
              <w:rPr>
                <w:sz w:val="22"/>
                <w:szCs w:val="22"/>
              </w:rPr>
              <w:t>giftsniveau på affaldet, så der generelt tages højde for den fossilfrie andel af affald</w:t>
            </w:r>
            <w:r w:rsidRPr="001F4CEA">
              <w:rPr>
                <w:sz w:val="22"/>
                <w:szCs w:val="22"/>
              </w:rPr>
              <w:t>s</w:t>
            </w:r>
            <w:r w:rsidRPr="001F4CEA">
              <w:rPr>
                <w:sz w:val="22"/>
                <w:szCs w:val="22"/>
              </w:rPr>
              <w:t xml:space="preserve">brændslet. </w:t>
            </w:r>
          </w:p>
        </w:tc>
        <w:tc>
          <w:tcPr>
            <w:tcW w:w="2991" w:type="dxa"/>
          </w:tcPr>
          <w:p w:rsidR="00FC7C92" w:rsidRPr="001F4CEA" w:rsidRDefault="00E90CCB" w:rsidP="00E90CCB">
            <w:pPr>
              <w:rPr>
                <w:sz w:val="22"/>
                <w:szCs w:val="22"/>
              </w:rPr>
            </w:pPr>
            <w:r w:rsidRPr="001F4CEA">
              <w:rPr>
                <w:sz w:val="22"/>
                <w:szCs w:val="22"/>
              </w:rPr>
              <w:t>Energitilsynet har den 1. okt</w:t>
            </w:r>
            <w:r w:rsidRPr="001F4CEA">
              <w:rPr>
                <w:sz w:val="22"/>
                <w:szCs w:val="22"/>
              </w:rPr>
              <w:t>o</w:t>
            </w:r>
            <w:r w:rsidRPr="001F4CEA">
              <w:rPr>
                <w:sz w:val="22"/>
                <w:szCs w:val="22"/>
              </w:rPr>
              <w:t xml:space="preserve">ber 2012 udmeldt prislofter for affaldsforbrændingsanlæg gældende for 2013. </w:t>
            </w:r>
          </w:p>
          <w:p w:rsidR="00E90CCB" w:rsidRPr="001F4CEA" w:rsidRDefault="00944E69" w:rsidP="00E90CCB">
            <w:pPr>
              <w:rPr>
                <w:sz w:val="22"/>
                <w:szCs w:val="22"/>
              </w:rPr>
            </w:pPr>
            <w:r w:rsidRPr="001F4CEA">
              <w:rPr>
                <w:sz w:val="22"/>
                <w:szCs w:val="22"/>
              </w:rPr>
              <w:t>Det fremgår heraf, at der kan søges om dispensation hos Energistyrelsen i forbindelse med afgiftsforhøjelse på fossile brændsler, jf. prisloftudme</w:t>
            </w:r>
            <w:r w:rsidRPr="001F4CEA">
              <w:rPr>
                <w:sz w:val="22"/>
                <w:szCs w:val="22"/>
              </w:rPr>
              <w:t>l</w:t>
            </w:r>
            <w:r w:rsidRPr="001F4CEA">
              <w:rPr>
                <w:sz w:val="22"/>
                <w:szCs w:val="22"/>
              </w:rPr>
              <w:t>dingen for 2013, såfremt a</w:t>
            </w:r>
            <w:r w:rsidRPr="001F4CEA">
              <w:rPr>
                <w:sz w:val="22"/>
                <w:szCs w:val="22"/>
              </w:rPr>
              <w:t>f</w:t>
            </w:r>
            <w:r w:rsidRPr="001F4CEA">
              <w:rPr>
                <w:sz w:val="22"/>
                <w:szCs w:val="22"/>
              </w:rPr>
              <w:t>giftsforhøjelsen endnu ikke er slået igennem i de varmepr</w:t>
            </w:r>
            <w:r w:rsidRPr="001F4CEA">
              <w:rPr>
                <w:sz w:val="22"/>
                <w:szCs w:val="22"/>
              </w:rPr>
              <w:t>o</w:t>
            </w:r>
            <w:r w:rsidRPr="001F4CEA">
              <w:rPr>
                <w:sz w:val="22"/>
                <w:szCs w:val="22"/>
              </w:rPr>
              <w:t>duktionspriser, som beregni</w:t>
            </w:r>
            <w:r w:rsidRPr="001F4CEA">
              <w:rPr>
                <w:sz w:val="22"/>
                <w:szCs w:val="22"/>
              </w:rPr>
              <w:t>n</w:t>
            </w:r>
            <w:r w:rsidRPr="001F4CEA">
              <w:rPr>
                <w:sz w:val="22"/>
                <w:szCs w:val="22"/>
              </w:rPr>
              <w:t xml:space="preserve">gen af prislofterne er baseret på. </w:t>
            </w:r>
          </w:p>
          <w:p w:rsidR="00E90CCB" w:rsidRPr="001F4CEA" w:rsidRDefault="00E90CCB" w:rsidP="00E90CCB">
            <w:pPr>
              <w:rPr>
                <w:sz w:val="22"/>
                <w:szCs w:val="22"/>
              </w:rPr>
            </w:pPr>
          </w:p>
          <w:p w:rsidR="00E90CCB" w:rsidRPr="001F4CEA" w:rsidRDefault="00E90CCB" w:rsidP="00E90CCB">
            <w:pPr>
              <w:rPr>
                <w:sz w:val="22"/>
                <w:szCs w:val="22"/>
              </w:rPr>
            </w:pPr>
          </w:p>
          <w:p w:rsidR="00E90CCB" w:rsidRDefault="00E90CCB" w:rsidP="00E90CCB">
            <w:pPr>
              <w:rPr>
                <w:sz w:val="22"/>
                <w:szCs w:val="22"/>
              </w:rPr>
            </w:pPr>
          </w:p>
          <w:p w:rsidR="00A57B99" w:rsidRDefault="00A57B99" w:rsidP="00E90CCB">
            <w:pPr>
              <w:rPr>
                <w:sz w:val="22"/>
                <w:szCs w:val="22"/>
              </w:rPr>
            </w:pPr>
          </w:p>
          <w:p w:rsidR="00E030C0" w:rsidRDefault="00E030C0" w:rsidP="00E90CCB">
            <w:pPr>
              <w:rPr>
                <w:sz w:val="22"/>
                <w:szCs w:val="22"/>
              </w:rPr>
            </w:pPr>
          </w:p>
          <w:p w:rsidR="00A57B99" w:rsidRDefault="00E030C0" w:rsidP="00E030C0">
            <w:pPr>
              <w:rPr>
                <w:sz w:val="22"/>
                <w:szCs w:val="22"/>
              </w:rPr>
            </w:pPr>
            <w:r w:rsidRPr="00E030C0">
              <w:rPr>
                <w:sz w:val="22"/>
                <w:szCs w:val="22"/>
              </w:rPr>
              <w:t xml:space="preserve">Finansieringen af </w:t>
            </w:r>
            <w:r w:rsidRPr="00E032EC">
              <w:rPr>
                <w:i/>
                <w:sz w:val="22"/>
                <w:szCs w:val="22"/>
              </w:rPr>
              <w:t>Solcelleaft</w:t>
            </w:r>
            <w:r w:rsidRPr="00E032EC">
              <w:rPr>
                <w:i/>
                <w:sz w:val="22"/>
                <w:szCs w:val="22"/>
              </w:rPr>
              <w:t>a</w:t>
            </w:r>
            <w:r w:rsidRPr="00E032EC">
              <w:rPr>
                <w:i/>
                <w:sz w:val="22"/>
                <w:szCs w:val="22"/>
              </w:rPr>
              <w:t>len</w:t>
            </w:r>
            <w:r w:rsidRPr="00E030C0">
              <w:rPr>
                <w:sz w:val="22"/>
                <w:szCs w:val="22"/>
              </w:rPr>
              <w:t xml:space="preserve"> dækker perioden fra 2013-2020, og derfor har det været nødvendigt at fremrykke fre</w:t>
            </w:r>
            <w:r w:rsidRPr="00E030C0">
              <w:rPr>
                <w:sz w:val="22"/>
                <w:szCs w:val="22"/>
              </w:rPr>
              <w:t>m</w:t>
            </w:r>
            <w:r w:rsidRPr="00E030C0">
              <w:rPr>
                <w:sz w:val="22"/>
                <w:szCs w:val="22"/>
              </w:rPr>
              <w:t>sættelsen af dette lovforslag, da det dækker finansieringsb</w:t>
            </w:r>
            <w:r w:rsidRPr="00E030C0">
              <w:rPr>
                <w:sz w:val="22"/>
                <w:szCs w:val="22"/>
              </w:rPr>
              <w:t>e</w:t>
            </w:r>
            <w:r w:rsidRPr="00E030C0">
              <w:rPr>
                <w:sz w:val="22"/>
                <w:szCs w:val="22"/>
              </w:rPr>
              <w:t>hovet for 2013.</w:t>
            </w:r>
          </w:p>
          <w:p w:rsidR="00E030C0" w:rsidRDefault="00E030C0" w:rsidP="00E030C0">
            <w:pPr>
              <w:rPr>
                <w:sz w:val="22"/>
                <w:szCs w:val="22"/>
              </w:rPr>
            </w:pPr>
          </w:p>
          <w:p w:rsidR="00E030C0" w:rsidRDefault="00E030C0" w:rsidP="00E030C0">
            <w:pPr>
              <w:rPr>
                <w:sz w:val="22"/>
                <w:szCs w:val="22"/>
              </w:rPr>
            </w:pPr>
          </w:p>
          <w:p w:rsidR="00E030C0" w:rsidRDefault="00E030C0" w:rsidP="00E030C0">
            <w:pPr>
              <w:rPr>
                <w:sz w:val="22"/>
                <w:szCs w:val="22"/>
              </w:rPr>
            </w:pPr>
          </w:p>
          <w:p w:rsidR="00E030C0" w:rsidRDefault="00E030C0" w:rsidP="00E030C0">
            <w:pPr>
              <w:rPr>
                <w:sz w:val="22"/>
                <w:szCs w:val="22"/>
              </w:rPr>
            </w:pPr>
          </w:p>
          <w:p w:rsidR="00E030C0" w:rsidRDefault="00E030C0" w:rsidP="00E030C0">
            <w:pPr>
              <w:rPr>
                <w:sz w:val="22"/>
                <w:szCs w:val="22"/>
              </w:rPr>
            </w:pPr>
          </w:p>
          <w:p w:rsidR="00E030C0" w:rsidRDefault="00E030C0" w:rsidP="00E030C0">
            <w:pPr>
              <w:rPr>
                <w:sz w:val="22"/>
                <w:szCs w:val="22"/>
              </w:rPr>
            </w:pPr>
          </w:p>
          <w:p w:rsidR="00E030C0" w:rsidRDefault="00E030C0" w:rsidP="00E030C0">
            <w:pPr>
              <w:rPr>
                <w:sz w:val="22"/>
                <w:szCs w:val="22"/>
              </w:rPr>
            </w:pPr>
          </w:p>
          <w:p w:rsidR="00E030C0" w:rsidRDefault="00E030C0" w:rsidP="00E030C0">
            <w:pPr>
              <w:rPr>
                <w:sz w:val="22"/>
                <w:szCs w:val="22"/>
              </w:rPr>
            </w:pPr>
          </w:p>
          <w:p w:rsidR="00E030C0" w:rsidRPr="001F4CEA" w:rsidRDefault="00E030C0" w:rsidP="00E030C0">
            <w:pPr>
              <w:rPr>
                <w:sz w:val="22"/>
                <w:szCs w:val="22"/>
              </w:rPr>
            </w:pPr>
          </w:p>
        </w:tc>
      </w:tr>
      <w:tr w:rsidR="00E12A5D" w:rsidRPr="001F4CEA" w:rsidTr="00A56C38">
        <w:tc>
          <w:tcPr>
            <w:tcW w:w="1809" w:type="dxa"/>
          </w:tcPr>
          <w:p w:rsidR="00E12A5D" w:rsidRPr="001F4CEA" w:rsidRDefault="00AA1EFE">
            <w:pPr>
              <w:rPr>
                <w:sz w:val="22"/>
                <w:szCs w:val="22"/>
              </w:rPr>
            </w:pPr>
            <w:r w:rsidRPr="001F4CEA">
              <w:rPr>
                <w:sz w:val="22"/>
                <w:szCs w:val="22"/>
              </w:rPr>
              <w:t>Dansk Byggeri</w:t>
            </w:r>
          </w:p>
        </w:tc>
        <w:tc>
          <w:tcPr>
            <w:tcW w:w="4245" w:type="dxa"/>
          </w:tcPr>
          <w:p w:rsidR="00E12A5D" w:rsidRPr="001F4CEA" w:rsidRDefault="00AA1EFE">
            <w:pPr>
              <w:rPr>
                <w:sz w:val="22"/>
                <w:szCs w:val="22"/>
              </w:rPr>
            </w:pPr>
            <w:r w:rsidRPr="001F4CEA">
              <w:rPr>
                <w:sz w:val="22"/>
                <w:szCs w:val="22"/>
              </w:rPr>
              <w:t>Dansk Byggeri har noteret sig, at forslaget har til formål at udmønte en del af finansi</w:t>
            </w:r>
            <w:r w:rsidRPr="001F4CEA">
              <w:rPr>
                <w:sz w:val="22"/>
                <w:szCs w:val="22"/>
              </w:rPr>
              <w:t>e</w:t>
            </w:r>
            <w:r w:rsidRPr="001F4CEA">
              <w:rPr>
                <w:sz w:val="22"/>
                <w:szCs w:val="22"/>
              </w:rPr>
              <w:t>ringen af energiaftalen og af solcelleaftalen.</w:t>
            </w:r>
          </w:p>
          <w:p w:rsidR="00AA1EFE" w:rsidRPr="001F4CEA" w:rsidRDefault="00AA1EFE">
            <w:pPr>
              <w:rPr>
                <w:sz w:val="22"/>
                <w:szCs w:val="22"/>
              </w:rPr>
            </w:pPr>
            <w:r w:rsidRPr="001F4CEA">
              <w:rPr>
                <w:sz w:val="22"/>
                <w:szCs w:val="22"/>
              </w:rPr>
              <w:t xml:space="preserve">Det fremgår af solcelleaftalen, at det statslige provenutab skal finansieres ved en stigning i forsyningssikkerhedsafgiften, som dermed bliver til en provenutabsafgift. Det er efter </w:t>
            </w:r>
            <w:r w:rsidR="009C519C">
              <w:rPr>
                <w:sz w:val="22"/>
                <w:szCs w:val="22"/>
              </w:rPr>
              <w:t>Dansk Bryggeri</w:t>
            </w:r>
            <w:r w:rsidRPr="001F4CEA">
              <w:rPr>
                <w:sz w:val="22"/>
                <w:szCs w:val="22"/>
              </w:rPr>
              <w:t xml:space="preserve"> </w:t>
            </w:r>
            <w:r w:rsidRPr="00AC406B">
              <w:rPr>
                <w:sz w:val="22"/>
                <w:szCs w:val="22"/>
              </w:rPr>
              <w:t>opfattelse en fordrejning af formålene med afgifterne, at de ikke får re</w:t>
            </w:r>
            <w:r w:rsidRPr="00AC406B">
              <w:rPr>
                <w:sz w:val="22"/>
                <w:szCs w:val="22"/>
              </w:rPr>
              <w:t>t</w:t>
            </w:r>
            <w:r w:rsidRPr="00AC406B">
              <w:rPr>
                <w:sz w:val="22"/>
                <w:szCs w:val="22"/>
              </w:rPr>
              <w:t>visende navne. Dansk Byggeri har endnu i</w:t>
            </w:r>
            <w:r w:rsidRPr="00AC406B">
              <w:rPr>
                <w:sz w:val="22"/>
                <w:szCs w:val="22"/>
              </w:rPr>
              <w:t>k</w:t>
            </w:r>
            <w:r w:rsidRPr="00AC406B">
              <w:rPr>
                <w:sz w:val="22"/>
                <w:szCs w:val="22"/>
              </w:rPr>
              <w:t>ke set konkrete beregninger, som dokument</w:t>
            </w:r>
            <w:r w:rsidRPr="00AC406B">
              <w:rPr>
                <w:sz w:val="22"/>
                <w:szCs w:val="22"/>
              </w:rPr>
              <w:t>e</w:t>
            </w:r>
            <w:r w:rsidRPr="00AC406B">
              <w:rPr>
                <w:sz w:val="22"/>
                <w:szCs w:val="22"/>
              </w:rPr>
              <w:t xml:space="preserve">rer en reel udgift, solcellerne skulle </w:t>
            </w:r>
            <w:r w:rsidR="009C519C">
              <w:rPr>
                <w:sz w:val="22"/>
                <w:szCs w:val="22"/>
              </w:rPr>
              <w:t>belaste</w:t>
            </w:r>
            <w:r w:rsidRPr="00AC406B">
              <w:rPr>
                <w:sz w:val="22"/>
                <w:szCs w:val="22"/>
              </w:rPr>
              <w:t xml:space="preserve"> netværksejerne og energiproducenterne, men </w:t>
            </w:r>
            <w:r w:rsidR="009C519C">
              <w:rPr>
                <w:sz w:val="22"/>
                <w:szCs w:val="22"/>
              </w:rPr>
              <w:t>Dansk Bryggeri</w:t>
            </w:r>
            <w:r w:rsidRPr="00AC406B">
              <w:rPr>
                <w:sz w:val="22"/>
                <w:szCs w:val="22"/>
              </w:rPr>
              <w:t xml:space="preserve"> samt Deloitte har set dok</w:t>
            </w:r>
            <w:r w:rsidRPr="00AC406B">
              <w:rPr>
                <w:sz w:val="22"/>
                <w:szCs w:val="22"/>
              </w:rPr>
              <w:t>u</w:t>
            </w:r>
            <w:r w:rsidRPr="00AC406B">
              <w:rPr>
                <w:sz w:val="22"/>
                <w:szCs w:val="22"/>
              </w:rPr>
              <w:t>mentation for det modsatte. Der er dermed ikke et forsyningssikkerhedsformål</w:t>
            </w:r>
            <w:r w:rsidRPr="001F4CEA">
              <w:rPr>
                <w:sz w:val="22"/>
                <w:szCs w:val="22"/>
              </w:rPr>
              <w:t xml:space="preserve"> med a</w:t>
            </w:r>
            <w:r w:rsidRPr="001F4CEA">
              <w:rPr>
                <w:sz w:val="22"/>
                <w:szCs w:val="22"/>
              </w:rPr>
              <w:t>f</w:t>
            </w:r>
            <w:r w:rsidRPr="001F4CEA">
              <w:rPr>
                <w:sz w:val="22"/>
                <w:szCs w:val="22"/>
              </w:rPr>
              <w:t>giften.</w:t>
            </w:r>
          </w:p>
          <w:p w:rsidR="00AA1EFE" w:rsidRPr="001F4CEA" w:rsidRDefault="00AA1EFE">
            <w:pPr>
              <w:rPr>
                <w:sz w:val="22"/>
                <w:szCs w:val="22"/>
              </w:rPr>
            </w:pPr>
            <w:r w:rsidRPr="001F4CEA">
              <w:rPr>
                <w:sz w:val="22"/>
                <w:szCs w:val="22"/>
              </w:rPr>
              <w:t>Det betyder, at stigningen i forsyningssikke</w:t>
            </w:r>
            <w:r w:rsidRPr="001F4CEA">
              <w:rPr>
                <w:sz w:val="22"/>
                <w:szCs w:val="22"/>
              </w:rPr>
              <w:t>r</w:t>
            </w:r>
            <w:r w:rsidRPr="001F4CEA">
              <w:rPr>
                <w:sz w:val="22"/>
                <w:szCs w:val="22"/>
              </w:rPr>
              <w:t>hedsafgiften reelt er uden bund i en tilsv</w:t>
            </w:r>
            <w:r w:rsidRPr="001F4CEA">
              <w:rPr>
                <w:sz w:val="22"/>
                <w:szCs w:val="22"/>
              </w:rPr>
              <w:t>a</w:t>
            </w:r>
            <w:r w:rsidRPr="001F4CEA">
              <w:rPr>
                <w:sz w:val="22"/>
                <w:szCs w:val="22"/>
              </w:rPr>
              <w:t>rende stigning i de omkostninger, solcellea</w:t>
            </w:r>
            <w:r w:rsidRPr="001F4CEA">
              <w:rPr>
                <w:sz w:val="22"/>
                <w:szCs w:val="22"/>
              </w:rPr>
              <w:t>n</w:t>
            </w:r>
            <w:r w:rsidRPr="001F4CEA">
              <w:rPr>
                <w:sz w:val="22"/>
                <w:szCs w:val="22"/>
              </w:rPr>
              <w:t xml:space="preserve">læggene </w:t>
            </w:r>
            <w:r w:rsidR="009C519C">
              <w:rPr>
                <w:sz w:val="22"/>
                <w:szCs w:val="22"/>
              </w:rPr>
              <w:t>belaster</w:t>
            </w:r>
            <w:r w:rsidRPr="001F4CEA">
              <w:rPr>
                <w:sz w:val="22"/>
                <w:szCs w:val="22"/>
              </w:rPr>
              <w:t xml:space="preserve"> deres omgivelser. </w:t>
            </w:r>
          </w:p>
          <w:p w:rsidR="00AA1EFE" w:rsidRPr="001F4CEA" w:rsidRDefault="00AA1EFE">
            <w:pPr>
              <w:rPr>
                <w:sz w:val="22"/>
                <w:szCs w:val="22"/>
              </w:rPr>
            </w:pPr>
            <w:r w:rsidRPr="001F4CEA">
              <w:rPr>
                <w:sz w:val="22"/>
                <w:szCs w:val="22"/>
              </w:rPr>
              <w:t>Dansk Byggeri anerkender, at den nedgang i behovet for fossil energi, solcelleanlæggene er anledning til, vil betyde en mindre indtægt fra de adfærdsregulerende afgifter på omr</w:t>
            </w:r>
            <w:r w:rsidRPr="001F4CEA">
              <w:rPr>
                <w:sz w:val="22"/>
                <w:szCs w:val="22"/>
              </w:rPr>
              <w:t>å</w:t>
            </w:r>
            <w:r w:rsidRPr="001F4CEA">
              <w:rPr>
                <w:sz w:val="22"/>
                <w:szCs w:val="22"/>
              </w:rPr>
              <w:t>det. Den nye afgift har til formål at dække dette provenutab, og det forslås derfor, at den del af stigningen i afgiften, der kan henføres til solcelleaftalen retsmæssigt kaldes prov</w:t>
            </w:r>
            <w:r w:rsidRPr="001F4CEA">
              <w:rPr>
                <w:sz w:val="22"/>
                <w:szCs w:val="22"/>
              </w:rPr>
              <w:t>e</w:t>
            </w:r>
            <w:r w:rsidRPr="001F4CEA">
              <w:rPr>
                <w:sz w:val="22"/>
                <w:szCs w:val="22"/>
              </w:rPr>
              <w:t xml:space="preserve">nutabsafgift. </w:t>
            </w:r>
          </w:p>
        </w:tc>
        <w:tc>
          <w:tcPr>
            <w:tcW w:w="2991" w:type="dxa"/>
          </w:tcPr>
          <w:p w:rsidR="00255919" w:rsidRPr="00255919" w:rsidRDefault="00255919" w:rsidP="00255919">
            <w:pPr>
              <w:rPr>
                <w:sz w:val="22"/>
                <w:szCs w:val="22"/>
              </w:rPr>
            </w:pPr>
            <w:r w:rsidRPr="00255919">
              <w:rPr>
                <w:sz w:val="22"/>
                <w:szCs w:val="22"/>
              </w:rPr>
              <w:t xml:space="preserve">Jf. </w:t>
            </w:r>
            <w:r w:rsidRPr="00255919">
              <w:rPr>
                <w:i/>
                <w:sz w:val="22"/>
                <w:szCs w:val="22"/>
              </w:rPr>
              <w:t>Energiaftalen 2012</w:t>
            </w:r>
            <w:r w:rsidRPr="00255919">
              <w:rPr>
                <w:sz w:val="22"/>
                <w:szCs w:val="22"/>
              </w:rPr>
              <w:t xml:space="preserve"> fina</w:t>
            </w:r>
            <w:r w:rsidRPr="00255919">
              <w:rPr>
                <w:sz w:val="22"/>
                <w:szCs w:val="22"/>
              </w:rPr>
              <w:t>n</w:t>
            </w:r>
            <w:r w:rsidRPr="00255919">
              <w:rPr>
                <w:sz w:val="22"/>
                <w:szCs w:val="22"/>
              </w:rPr>
              <w:t>sieres det statslige afgiftstab, som fortrængningen af fossile brændsler afstedkommer af forsyningssikkerhedsafgiften.</w:t>
            </w:r>
          </w:p>
          <w:p w:rsidR="00255919" w:rsidRPr="00255919" w:rsidRDefault="00255919" w:rsidP="00255919">
            <w:pPr>
              <w:rPr>
                <w:sz w:val="22"/>
                <w:szCs w:val="22"/>
              </w:rPr>
            </w:pPr>
            <w:r w:rsidRPr="00255919">
              <w:rPr>
                <w:sz w:val="22"/>
                <w:szCs w:val="22"/>
              </w:rPr>
              <w:t xml:space="preserve">Jf. </w:t>
            </w:r>
            <w:r w:rsidRPr="00255919">
              <w:rPr>
                <w:i/>
                <w:sz w:val="22"/>
                <w:szCs w:val="22"/>
              </w:rPr>
              <w:t>Solcelleaftalen</w:t>
            </w:r>
            <w:r w:rsidRPr="00255919">
              <w:rPr>
                <w:sz w:val="22"/>
                <w:szCs w:val="22"/>
              </w:rPr>
              <w:t xml:space="preserve"> finansieres det statslige provenutab for den samlede udbygning med so</w:t>
            </w:r>
            <w:r w:rsidRPr="00255919">
              <w:rPr>
                <w:sz w:val="22"/>
                <w:szCs w:val="22"/>
              </w:rPr>
              <w:t>l</w:t>
            </w:r>
            <w:r w:rsidRPr="00255919">
              <w:rPr>
                <w:sz w:val="22"/>
                <w:szCs w:val="22"/>
              </w:rPr>
              <w:t xml:space="preserve">celleanlæg og øvrige små </w:t>
            </w:r>
            <w:proofErr w:type="spellStart"/>
            <w:r w:rsidRPr="00255919">
              <w:rPr>
                <w:sz w:val="22"/>
                <w:szCs w:val="22"/>
              </w:rPr>
              <w:t>VEanlæg</w:t>
            </w:r>
            <w:proofErr w:type="spellEnd"/>
            <w:r w:rsidRPr="00255919">
              <w:rPr>
                <w:sz w:val="22"/>
                <w:szCs w:val="22"/>
              </w:rPr>
              <w:t xml:space="preserve"> ved en stigning i fo</w:t>
            </w:r>
            <w:r w:rsidRPr="00255919">
              <w:rPr>
                <w:sz w:val="22"/>
                <w:szCs w:val="22"/>
              </w:rPr>
              <w:t>r</w:t>
            </w:r>
            <w:r w:rsidRPr="00255919">
              <w:rPr>
                <w:sz w:val="22"/>
                <w:szCs w:val="22"/>
              </w:rPr>
              <w:t>syningssikkerhedsafgiften i forhold til det aftalte i Energ</w:t>
            </w:r>
            <w:r w:rsidRPr="00255919">
              <w:rPr>
                <w:sz w:val="22"/>
                <w:szCs w:val="22"/>
              </w:rPr>
              <w:t>i</w:t>
            </w:r>
            <w:r w:rsidRPr="00255919">
              <w:rPr>
                <w:sz w:val="22"/>
                <w:szCs w:val="22"/>
              </w:rPr>
              <w:t>aftalen af 22. marts 2012.</w:t>
            </w:r>
          </w:p>
          <w:p w:rsidR="00255919" w:rsidRPr="00255919" w:rsidRDefault="00255919" w:rsidP="00255919">
            <w:pPr>
              <w:rPr>
                <w:sz w:val="22"/>
                <w:szCs w:val="22"/>
              </w:rPr>
            </w:pPr>
            <w:r>
              <w:rPr>
                <w:sz w:val="22"/>
                <w:szCs w:val="22"/>
              </w:rPr>
              <w:t>Støtteomkostninger i forbi</w:t>
            </w:r>
            <w:r>
              <w:rPr>
                <w:sz w:val="22"/>
                <w:szCs w:val="22"/>
              </w:rPr>
              <w:t>n</w:t>
            </w:r>
            <w:r w:rsidRPr="00255919">
              <w:rPr>
                <w:sz w:val="22"/>
                <w:szCs w:val="22"/>
              </w:rPr>
              <w:t xml:space="preserve">delse med den fremadrettede udbygning af vedvarende energi fra solceller og øvrige små VE-anlæg, der leveres til </w:t>
            </w:r>
            <w:proofErr w:type="spellStart"/>
            <w:r w:rsidRPr="00255919">
              <w:rPr>
                <w:sz w:val="22"/>
                <w:szCs w:val="22"/>
              </w:rPr>
              <w:t>elnettet</w:t>
            </w:r>
            <w:proofErr w:type="spellEnd"/>
            <w:r w:rsidRPr="00255919">
              <w:rPr>
                <w:sz w:val="22"/>
                <w:szCs w:val="22"/>
              </w:rPr>
              <w:t>, finansieres derimod over PSO-ordningen.</w:t>
            </w:r>
          </w:p>
          <w:p w:rsidR="00E12A5D" w:rsidRPr="001F4CEA" w:rsidRDefault="00255919" w:rsidP="00255919">
            <w:pPr>
              <w:rPr>
                <w:sz w:val="22"/>
                <w:szCs w:val="22"/>
              </w:rPr>
            </w:pPr>
            <w:r>
              <w:rPr>
                <w:sz w:val="22"/>
                <w:szCs w:val="22"/>
              </w:rPr>
              <w:t>Det gælder således, at fors</w:t>
            </w:r>
            <w:r>
              <w:rPr>
                <w:sz w:val="22"/>
                <w:szCs w:val="22"/>
              </w:rPr>
              <w:t>y</w:t>
            </w:r>
            <w:r>
              <w:rPr>
                <w:sz w:val="22"/>
                <w:szCs w:val="22"/>
              </w:rPr>
              <w:t>n</w:t>
            </w:r>
            <w:r w:rsidRPr="00255919">
              <w:rPr>
                <w:sz w:val="22"/>
                <w:szCs w:val="22"/>
              </w:rPr>
              <w:t xml:space="preserve">ingssikkerhedsafgiften i både </w:t>
            </w:r>
            <w:r w:rsidRPr="00E4094B">
              <w:rPr>
                <w:i/>
                <w:sz w:val="22"/>
                <w:szCs w:val="22"/>
              </w:rPr>
              <w:t>Energiaftalen</w:t>
            </w:r>
            <w:r w:rsidRPr="00255919">
              <w:rPr>
                <w:sz w:val="22"/>
                <w:szCs w:val="22"/>
              </w:rPr>
              <w:t xml:space="preserve"> og </w:t>
            </w:r>
            <w:r w:rsidRPr="00E4094B">
              <w:rPr>
                <w:i/>
                <w:sz w:val="22"/>
                <w:szCs w:val="22"/>
              </w:rPr>
              <w:t>Solcelleaft</w:t>
            </w:r>
            <w:r w:rsidRPr="00E4094B">
              <w:rPr>
                <w:i/>
                <w:sz w:val="22"/>
                <w:szCs w:val="22"/>
              </w:rPr>
              <w:t>a</w:t>
            </w:r>
            <w:r w:rsidRPr="00E4094B">
              <w:rPr>
                <w:i/>
                <w:sz w:val="22"/>
                <w:szCs w:val="22"/>
              </w:rPr>
              <w:t>len</w:t>
            </w:r>
            <w:r w:rsidRPr="00255919">
              <w:rPr>
                <w:sz w:val="22"/>
                <w:szCs w:val="22"/>
              </w:rPr>
              <w:t xml:space="preserve"> finansierer et statsligt pr</w:t>
            </w:r>
            <w:r w:rsidRPr="00255919">
              <w:rPr>
                <w:sz w:val="22"/>
                <w:szCs w:val="22"/>
              </w:rPr>
              <w:t>o</w:t>
            </w:r>
            <w:r w:rsidRPr="00255919">
              <w:rPr>
                <w:sz w:val="22"/>
                <w:szCs w:val="22"/>
              </w:rPr>
              <w:t>venutab i forbindelse med den grønne omstilling af den da</w:t>
            </w:r>
            <w:r w:rsidRPr="00255919">
              <w:rPr>
                <w:sz w:val="22"/>
                <w:szCs w:val="22"/>
              </w:rPr>
              <w:t>n</w:t>
            </w:r>
            <w:r w:rsidRPr="00255919">
              <w:rPr>
                <w:sz w:val="22"/>
                <w:szCs w:val="22"/>
              </w:rPr>
              <w:t xml:space="preserve">ske energisektor.  </w:t>
            </w:r>
          </w:p>
        </w:tc>
      </w:tr>
      <w:tr w:rsidR="00382B43" w:rsidRPr="001F4CEA" w:rsidTr="00A56C38">
        <w:tc>
          <w:tcPr>
            <w:tcW w:w="1809" w:type="dxa"/>
          </w:tcPr>
          <w:p w:rsidR="00382B43" w:rsidRPr="001F4CEA" w:rsidRDefault="00382B43">
            <w:pPr>
              <w:rPr>
                <w:sz w:val="22"/>
                <w:szCs w:val="22"/>
              </w:rPr>
            </w:pPr>
            <w:r w:rsidRPr="001F4CEA">
              <w:rPr>
                <w:sz w:val="22"/>
                <w:szCs w:val="22"/>
              </w:rPr>
              <w:t xml:space="preserve">Dansk Energi </w:t>
            </w:r>
          </w:p>
        </w:tc>
        <w:tc>
          <w:tcPr>
            <w:tcW w:w="4245" w:type="dxa"/>
          </w:tcPr>
          <w:p w:rsidR="00382B43" w:rsidRPr="001F4CEA" w:rsidRDefault="00382B43" w:rsidP="00382B43">
            <w:pPr>
              <w:rPr>
                <w:sz w:val="22"/>
                <w:szCs w:val="22"/>
              </w:rPr>
            </w:pPr>
            <w:r w:rsidRPr="001F4CEA">
              <w:rPr>
                <w:sz w:val="22"/>
                <w:szCs w:val="22"/>
              </w:rPr>
              <w:t>Med L 108 indføres forsyningssikkerhedsa</w:t>
            </w:r>
            <w:r w:rsidRPr="001F4CEA">
              <w:rPr>
                <w:sz w:val="22"/>
                <w:szCs w:val="22"/>
              </w:rPr>
              <w:t>f</w:t>
            </w:r>
            <w:r w:rsidRPr="001F4CEA">
              <w:rPr>
                <w:sz w:val="22"/>
                <w:szCs w:val="22"/>
              </w:rPr>
              <w:t>gift på fossile brændsler som gas, olie og kul mv. Dermed reduceres den afgiftsforskel e</w:t>
            </w:r>
            <w:r w:rsidRPr="001F4CEA">
              <w:rPr>
                <w:sz w:val="22"/>
                <w:szCs w:val="22"/>
              </w:rPr>
              <w:t>l</w:t>
            </w:r>
            <w:r w:rsidRPr="001F4CEA">
              <w:rPr>
                <w:sz w:val="22"/>
                <w:szCs w:val="22"/>
              </w:rPr>
              <w:t>ler indirekte støtte til fossile brændsler, som pt. eksisterer mellem el og brændsler.</w:t>
            </w:r>
          </w:p>
          <w:p w:rsidR="00382B43" w:rsidRPr="001F4CEA" w:rsidRDefault="00382B43" w:rsidP="00382B43">
            <w:pPr>
              <w:rPr>
                <w:sz w:val="22"/>
                <w:szCs w:val="22"/>
              </w:rPr>
            </w:pPr>
            <w:r w:rsidRPr="001F4CEA">
              <w:rPr>
                <w:sz w:val="22"/>
                <w:szCs w:val="22"/>
              </w:rPr>
              <w:t>Dansk Energi har gentagne gange påpeget, at denne skævvridning er uheldig i forhold til den grønne omstilling af det danske energ</w:t>
            </w:r>
            <w:r w:rsidRPr="001F4CEA">
              <w:rPr>
                <w:sz w:val="22"/>
                <w:szCs w:val="22"/>
              </w:rPr>
              <w:t>i</w:t>
            </w:r>
            <w:r w:rsidRPr="001F4CEA">
              <w:rPr>
                <w:sz w:val="22"/>
                <w:szCs w:val="22"/>
              </w:rPr>
              <w:t>system, hvor el bliver stadig mere afgørende som energikilde. Dansk Energi er derfor m</w:t>
            </w:r>
            <w:r w:rsidRPr="001F4CEA">
              <w:rPr>
                <w:sz w:val="22"/>
                <w:szCs w:val="22"/>
              </w:rPr>
              <w:t>e</w:t>
            </w:r>
            <w:r w:rsidRPr="001F4CEA">
              <w:rPr>
                <w:sz w:val="22"/>
                <w:szCs w:val="22"/>
              </w:rPr>
              <w:t>get glad for, at både regeringen og oppositi</w:t>
            </w:r>
            <w:r w:rsidRPr="001F4CEA">
              <w:rPr>
                <w:sz w:val="22"/>
                <w:szCs w:val="22"/>
              </w:rPr>
              <w:t>o</w:t>
            </w:r>
            <w:r w:rsidRPr="001F4CEA">
              <w:rPr>
                <w:sz w:val="22"/>
                <w:szCs w:val="22"/>
              </w:rPr>
              <w:t>nen anerkender, at udligning af afgiftsfo</w:t>
            </w:r>
            <w:r w:rsidRPr="001F4CEA">
              <w:rPr>
                <w:sz w:val="22"/>
                <w:szCs w:val="22"/>
              </w:rPr>
              <w:t>r</w:t>
            </w:r>
            <w:r w:rsidRPr="001F4CEA">
              <w:rPr>
                <w:sz w:val="22"/>
                <w:szCs w:val="22"/>
              </w:rPr>
              <w:t>skellen er helt afgørende både ud fra et o</w:t>
            </w:r>
            <w:r w:rsidRPr="001F4CEA">
              <w:rPr>
                <w:sz w:val="22"/>
                <w:szCs w:val="22"/>
              </w:rPr>
              <w:t>m</w:t>
            </w:r>
            <w:r w:rsidRPr="001F4CEA">
              <w:rPr>
                <w:sz w:val="22"/>
                <w:szCs w:val="22"/>
              </w:rPr>
              <w:t>kostningseffektivt og et klima- og energipol</w:t>
            </w:r>
            <w:r w:rsidRPr="001F4CEA">
              <w:rPr>
                <w:sz w:val="22"/>
                <w:szCs w:val="22"/>
              </w:rPr>
              <w:t>i</w:t>
            </w:r>
            <w:r w:rsidRPr="001F4CEA">
              <w:rPr>
                <w:sz w:val="22"/>
                <w:szCs w:val="22"/>
              </w:rPr>
              <w:t>tisk synspunkt.</w:t>
            </w:r>
          </w:p>
          <w:p w:rsidR="00382B43" w:rsidRPr="001F4CEA" w:rsidRDefault="00382B43" w:rsidP="00382B43">
            <w:pPr>
              <w:rPr>
                <w:sz w:val="22"/>
                <w:szCs w:val="22"/>
              </w:rPr>
            </w:pPr>
            <w:r w:rsidRPr="001F4CEA">
              <w:rPr>
                <w:sz w:val="22"/>
                <w:szCs w:val="22"/>
              </w:rPr>
              <w:t>Det er dog vigtigt at holde sig for øje, at dette kun er første skridt på vejen. Det gælder st</w:t>
            </w:r>
            <w:r w:rsidRPr="001F4CEA">
              <w:rPr>
                <w:sz w:val="22"/>
                <w:szCs w:val="22"/>
              </w:rPr>
              <w:t>a</w:t>
            </w:r>
            <w:r w:rsidRPr="001F4CEA">
              <w:rPr>
                <w:sz w:val="22"/>
                <w:szCs w:val="22"/>
              </w:rPr>
              <w:t>dig, at afgifterne på el er ca. tre gange så høje som for brændsler, hvorfor der er fortsat er en ubalance, som betyder, at afgiftssystemet giver massiv støtte til fossile brændsler på bekostning af CO2-neutral el. Dansk Energi opfordrer til, at løsningen på denne skæ</w:t>
            </w:r>
            <w:r w:rsidRPr="001F4CEA">
              <w:rPr>
                <w:sz w:val="22"/>
                <w:szCs w:val="22"/>
              </w:rPr>
              <w:t>v</w:t>
            </w:r>
            <w:r w:rsidRPr="001F4CEA">
              <w:rPr>
                <w:sz w:val="22"/>
                <w:szCs w:val="22"/>
              </w:rPr>
              <w:t>vridning af energiafgifterne bliver helt ce</w:t>
            </w:r>
            <w:r w:rsidRPr="001F4CEA">
              <w:rPr>
                <w:sz w:val="22"/>
                <w:szCs w:val="22"/>
              </w:rPr>
              <w:t>n</w:t>
            </w:r>
            <w:r w:rsidRPr="001F4CEA">
              <w:rPr>
                <w:sz w:val="22"/>
                <w:szCs w:val="22"/>
              </w:rPr>
              <w:t>tral i forhold til den kommende analyse af afgifts- og tilskuds-systemet som led i Ene</w:t>
            </w:r>
            <w:r w:rsidRPr="001F4CEA">
              <w:rPr>
                <w:sz w:val="22"/>
                <w:szCs w:val="22"/>
              </w:rPr>
              <w:t>r</w:t>
            </w:r>
            <w:r w:rsidRPr="001F4CEA">
              <w:rPr>
                <w:sz w:val="22"/>
                <w:szCs w:val="22"/>
              </w:rPr>
              <w:t>giaftale 2012.</w:t>
            </w:r>
          </w:p>
          <w:p w:rsidR="00382B43" w:rsidRPr="001F4CEA" w:rsidRDefault="00382B43" w:rsidP="00382B43">
            <w:pPr>
              <w:rPr>
                <w:sz w:val="22"/>
                <w:szCs w:val="22"/>
              </w:rPr>
            </w:pPr>
            <w:r w:rsidRPr="001F4CEA">
              <w:rPr>
                <w:sz w:val="22"/>
                <w:szCs w:val="22"/>
              </w:rPr>
              <w:t>Med Energiaftale 2012 indføres forsyning</w:t>
            </w:r>
            <w:r w:rsidRPr="001F4CEA">
              <w:rPr>
                <w:sz w:val="22"/>
                <w:szCs w:val="22"/>
              </w:rPr>
              <w:t>s</w:t>
            </w:r>
            <w:r w:rsidRPr="001F4CEA">
              <w:rPr>
                <w:sz w:val="22"/>
                <w:szCs w:val="22"/>
              </w:rPr>
              <w:t xml:space="preserve">sikkerhedsafgift på såvel fossile brændsler som biomasse. Af uvisse årsager er </w:t>
            </w:r>
            <w:r w:rsidR="0079697F">
              <w:rPr>
                <w:sz w:val="22"/>
                <w:szCs w:val="22"/>
              </w:rPr>
              <w:t>aftaled</w:t>
            </w:r>
            <w:r w:rsidR="0079697F">
              <w:rPr>
                <w:sz w:val="22"/>
                <w:szCs w:val="22"/>
              </w:rPr>
              <w:t>e</w:t>
            </w:r>
            <w:r w:rsidR="0079697F">
              <w:rPr>
                <w:sz w:val="22"/>
                <w:szCs w:val="22"/>
              </w:rPr>
              <w:t>len vedrørende biomasse</w:t>
            </w:r>
            <w:r w:rsidRPr="001F4CEA">
              <w:rPr>
                <w:sz w:val="22"/>
                <w:szCs w:val="22"/>
              </w:rPr>
              <w:t xml:space="preserve"> ikke indarbejdet i L 108, og dermed giver lovforslaget ikke et fuldstændigt billede af, hvordan den nye fo</w:t>
            </w:r>
            <w:r w:rsidRPr="001F4CEA">
              <w:rPr>
                <w:sz w:val="22"/>
                <w:szCs w:val="22"/>
              </w:rPr>
              <w:t>r</w:t>
            </w:r>
            <w:r w:rsidRPr="001F4CEA">
              <w:rPr>
                <w:sz w:val="22"/>
                <w:szCs w:val="22"/>
              </w:rPr>
              <w:t>syningssikkerhedsafgift samlet set kommer til at påvirke incitamenter ved brug af de fo</w:t>
            </w:r>
            <w:r w:rsidRPr="001F4CEA">
              <w:rPr>
                <w:sz w:val="22"/>
                <w:szCs w:val="22"/>
              </w:rPr>
              <w:t>r</w:t>
            </w:r>
            <w:r w:rsidRPr="001F4CEA">
              <w:rPr>
                <w:sz w:val="22"/>
                <w:szCs w:val="22"/>
              </w:rPr>
              <w:t>skellige brændsler.</w:t>
            </w:r>
          </w:p>
          <w:p w:rsidR="00382B43" w:rsidRPr="001F4CEA" w:rsidRDefault="00382B43" w:rsidP="00382B43">
            <w:pPr>
              <w:rPr>
                <w:sz w:val="22"/>
                <w:szCs w:val="22"/>
              </w:rPr>
            </w:pPr>
            <w:r w:rsidRPr="001F4CEA">
              <w:rPr>
                <w:sz w:val="22"/>
                <w:szCs w:val="22"/>
              </w:rPr>
              <w:t>Det ufuldstændige billede af de kommende afgifter skaber desværre usikkerhed om øk</w:t>
            </w:r>
            <w:r w:rsidRPr="001F4CEA">
              <w:rPr>
                <w:sz w:val="22"/>
                <w:szCs w:val="22"/>
              </w:rPr>
              <w:t>o</w:t>
            </w:r>
            <w:r w:rsidRPr="001F4CEA">
              <w:rPr>
                <w:sz w:val="22"/>
                <w:szCs w:val="22"/>
              </w:rPr>
              <w:t>nomien i de kommende projekter for omsti</w:t>
            </w:r>
            <w:r w:rsidRPr="001F4CEA">
              <w:rPr>
                <w:sz w:val="22"/>
                <w:szCs w:val="22"/>
              </w:rPr>
              <w:t>l</w:t>
            </w:r>
            <w:r w:rsidRPr="001F4CEA">
              <w:rPr>
                <w:sz w:val="22"/>
                <w:szCs w:val="22"/>
              </w:rPr>
              <w:t>ling fra kul til biomasse på de store kraftva</w:t>
            </w:r>
            <w:r w:rsidRPr="001F4CEA">
              <w:rPr>
                <w:sz w:val="22"/>
                <w:szCs w:val="22"/>
              </w:rPr>
              <w:t>r</w:t>
            </w:r>
            <w:r w:rsidRPr="001F4CEA">
              <w:rPr>
                <w:sz w:val="22"/>
                <w:szCs w:val="22"/>
              </w:rPr>
              <w:t>meværker. Som bekendt sker investeringer i omstillingerne i tillid til, at afgiftsfordelen ved biomasse bibeholdes. Usikkerheden om, hvordan afgiften udvikler sig fremover kan påvirke investeringsbeslutninger. I et fors</w:t>
            </w:r>
            <w:r w:rsidRPr="001F4CEA">
              <w:rPr>
                <w:sz w:val="22"/>
                <w:szCs w:val="22"/>
              </w:rPr>
              <w:t>y</w:t>
            </w:r>
            <w:r w:rsidRPr="001F4CEA">
              <w:rPr>
                <w:sz w:val="22"/>
                <w:szCs w:val="22"/>
              </w:rPr>
              <w:t>ningssikkerhedsperspektiv er det uhensigt</w:t>
            </w:r>
            <w:r w:rsidRPr="001F4CEA">
              <w:rPr>
                <w:sz w:val="22"/>
                <w:szCs w:val="22"/>
              </w:rPr>
              <w:t>s</w:t>
            </w:r>
            <w:r w:rsidRPr="001F4CEA">
              <w:rPr>
                <w:sz w:val="22"/>
                <w:szCs w:val="22"/>
              </w:rPr>
              <w:t>mæssigt, da kraftvarmeværkerne har en ce</w:t>
            </w:r>
            <w:r w:rsidRPr="001F4CEA">
              <w:rPr>
                <w:sz w:val="22"/>
                <w:szCs w:val="22"/>
              </w:rPr>
              <w:t>n</w:t>
            </w:r>
            <w:r w:rsidRPr="001F4CEA">
              <w:rPr>
                <w:sz w:val="22"/>
                <w:szCs w:val="22"/>
              </w:rPr>
              <w:t>tral rolle at spille i forbindelse med den grønne omstilling af energi-systemet med indpasning af øgede mængder vedvarende energi. Kraftvarmeværkerne kan således l</w:t>
            </w:r>
            <w:r w:rsidRPr="001F4CEA">
              <w:rPr>
                <w:sz w:val="22"/>
                <w:szCs w:val="22"/>
              </w:rPr>
              <w:t>e</w:t>
            </w:r>
            <w:r w:rsidRPr="001F4CEA">
              <w:rPr>
                <w:sz w:val="22"/>
                <w:szCs w:val="22"/>
              </w:rPr>
              <w:t>vere den nødvendige fleksibilitet i energis</w:t>
            </w:r>
            <w:r w:rsidRPr="001F4CEA">
              <w:rPr>
                <w:sz w:val="22"/>
                <w:szCs w:val="22"/>
              </w:rPr>
              <w:t>y</w:t>
            </w:r>
            <w:r w:rsidRPr="001F4CEA">
              <w:rPr>
                <w:sz w:val="22"/>
                <w:szCs w:val="22"/>
              </w:rPr>
              <w:t>stemet. Hvis forsyningssikkerheden fortsat skal være høj i Danmark, er kraftvarmevæ</w:t>
            </w:r>
            <w:r w:rsidRPr="001F4CEA">
              <w:rPr>
                <w:sz w:val="22"/>
                <w:szCs w:val="22"/>
              </w:rPr>
              <w:t>r</w:t>
            </w:r>
            <w:r w:rsidRPr="001F4CEA">
              <w:rPr>
                <w:sz w:val="22"/>
                <w:szCs w:val="22"/>
              </w:rPr>
              <w:t>kernes overlevelse helt central.</w:t>
            </w:r>
          </w:p>
          <w:p w:rsidR="00382B43" w:rsidRPr="001F4CEA" w:rsidRDefault="00382B43" w:rsidP="00382B43">
            <w:pPr>
              <w:rPr>
                <w:sz w:val="22"/>
                <w:szCs w:val="22"/>
              </w:rPr>
            </w:pPr>
            <w:r w:rsidRPr="001F4CEA">
              <w:rPr>
                <w:sz w:val="22"/>
                <w:szCs w:val="22"/>
              </w:rPr>
              <w:t>Af Energiaftalen 2012 fremgår, at fors</w:t>
            </w:r>
            <w:r w:rsidRPr="001F4CEA">
              <w:rPr>
                <w:sz w:val="22"/>
                <w:szCs w:val="22"/>
              </w:rPr>
              <w:t>y</w:t>
            </w:r>
            <w:r w:rsidRPr="001F4CEA">
              <w:rPr>
                <w:sz w:val="22"/>
                <w:szCs w:val="22"/>
              </w:rPr>
              <w:t>ningssikkerhedsafgiften på biomasse bliver 7,5 kr. pr. GJ højere end for de fossile brændsler. Dansk Energi vil opfordre til, at denne afgiftsforskel ikke øges, da den i så fald kan virke imod den grønne omstilling af energisystemet.</w:t>
            </w:r>
          </w:p>
          <w:p w:rsidR="007303B3" w:rsidRPr="001F4CEA" w:rsidRDefault="00382B43" w:rsidP="00382B43">
            <w:pPr>
              <w:rPr>
                <w:sz w:val="22"/>
                <w:szCs w:val="22"/>
              </w:rPr>
            </w:pPr>
            <w:r w:rsidRPr="001F4CEA">
              <w:rPr>
                <w:sz w:val="22"/>
                <w:szCs w:val="22"/>
              </w:rPr>
              <w:t>Endelig vil Dansk Energi opfordre til, at en afgift på biomasse udformes som en afgift på alle former for biomasse, og det uanset hvor det anvendes. En yderligere forhøjelse af a</w:t>
            </w:r>
            <w:r w:rsidRPr="001F4CEA">
              <w:rPr>
                <w:sz w:val="22"/>
                <w:szCs w:val="22"/>
              </w:rPr>
              <w:t>f</w:t>
            </w:r>
            <w:r w:rsidRPr="001F4CEA">
              <w:rPr>
                <w:sz w:val="22"/>
                <w:szCs w:val="22"/>
              </w:rPr>
              <w:t>giften på fjernvarme uden en tilsvarende fo</w:t>
            </w:r>
            <w:r w:rsidRPr="001F4CEA">
              <w:rPr>
                <w:sz w:val="22"/>
                <w:szCs w:val="22"/>
              </w:rPr>
              <w:t>r</w:t>
            </w:r>
            <w:r w:rsidRPr="001F4CEA">
              <w:rPr>
                <w:sz w:val="22"/>
                <w:szCs w:val="22"/>
              </w:rPr>
              <w:t>højelse af afgift på anden brug af biomasse vil forvride forbruget og medvirke til yderl</w:t>
            </w:r>
            <w:r w:rsidRPr="001F4CEA">
              <w:rPr>
                <w:sz w:val="22"/>
                <w:szCs w:val="22"/>
              </w:rPr>
              <w:t>i</w:t>
            </w:r>
            <w:r w:rsidRPr="001F4CEA">
              <w:rPr>
                <w:sz w:val="22"/>
                <w:szCs w:val="22"/>
              </w:rPr>
              <w:t xml:space="preserve">gere udbredelse af private brændeovne, som allerede i dag har store lokale miljømæssige konsekvenser i forhold til udledning af </w:t>
            </w:r>
            <w:proofErr w:type="spellStart"/>
            <w:r w:rsidRPr="001F4CEA">
              <w:rPr>
                <w:sz w:val="22"/>
                <w:szCs w:val="22"/>
              </w:rPr>
              <w:t>NOx</w:t>
            </w:r>
            <w:proofErr w:type="spellEnd"/>
            <w:r w:rsidRPr="001F4CEA">
              <w:rPr>
                <w:sz w:val="22"/>
                <w:szCs w:val="22"/>
              </w:rPr>
              <w:t>, dioxin og svovldioxid mv.</w:t>
            </w:r>
          </w:p>
          <w:p w:rsidR="00382B43" w:rsidRPr="001F4CEA" w:rsidRDefault="00382B43" w:rsidP="00382B43">
            <w:pPr>
              <w:rPr>
                <w:sz w:val="22"/>
                <w:szCs w:val="22"/>
              </w:rPr>
            </w:pPr>
            <w:r w:rsidRPr="001F4CEA">
              <w:rPr>
                <w:sz w:val="22"/>
                <w:szCs w:val="22"/>
              </w:rPr>
              <w:t>Energitilsynet har netop udmeldt nye varm</w:t>
            </w:r>
            <w:r w:rsidRPr="001F4CEA">
              <w:rPr>
                <w:sz w:val="22"/>
                <w:szCs w:val="22"/>
              </w:rPr>
              <w:t>e</w:t>
            </w:r>
            <w:r w:rsidRPr="001F4CEA">
              <w:rPr>
                <w:sz w:val="22"/>
                <w:szCs w:val="22"/>
              </w:rPr>
              <w:t>prislofter. Disse prislofter er bl.a. beregnet ud fra data fra det foregående år. Det betyder, at forbrændingsanlæg i praksis ikke kan opkr</w:t>
            </w:r>
            <w:r w:rsidRPr="001F4CEA">
              <w:rPr>
                <w:sz w:val="22"/>
                <w:szCs w:val="22"/>
              </w:rPr>
              <w:t>æ</w:t>
            </w:r>
            <w:r w:rsidRPr="001F4CEA">
              <w:rPr>
                <w:sz w:val="22"/>
                <w:szCs w:val="22"/>
              </w:rPr>
              <w:t>ve en stigning i affaldsvarmeafgiften som følge af L 108 hos varmekunderne. Afgift</w:t>
            </w:r>
            <w:r w:rsidRPr="001F4CEA">
              <w:rPr>
                <w:sz w:val="22"/>
                <w:szCs w:val="22"/>
              </w:rPr>
              <w:t>s</w:t>
            </w:r>
            <w:r w:rsidRPr="001F4CEA">
              <w:rPr>
                <w:sz w:val="22"/>
                <w:szCs w:val="22"/>
              </w:rPr>
              <w:t>stigningen risikerer derfor at forringe øk</w:t>
            </w:r>
            <w:r w:rsidRPr="001F4CEA">
              <w:rPr>
                <w:sz w:val="22"/>
                <w:szCs w:val="22"/>
              </w:rPr>
              <w:t>o</w:t>
            </w:r>
            <w:r w:rsidRPr="001F4CEA">
              <w:rPr>
                <w:sz w:val="22"/>
                <w:szCs w:val="22"/>
              </w:rPr>
              <w:t>nomien for forbrændingsanlægget betydeligt, når afgiften ikke umiddelbart kan overvæltes til varmeforbrugeren</w:t>
            </w:r>
            <w:r w:rsidR="00F93175">
              <w:rPr>
                <w:sz w:val="22"/>
                <w:szCs w:val="22"/>
              </w:rPr>
              <w:t>.</w:t>
            </w:r>
            <w:r w:rsidRPr="001F4CEA">
              <w:rPr>
                <w:sz w:val="22"/>
                <w:szCs w:val="22"/>
              </w:rPr>
              <w:t xml:space="preserve"> Det fremgår ikke af lovforslaget, at det skulle være tilfældet. Der er derfor behov for at præcisere, at der skal ske en konsekvensrettelse af de udmeldte prislofter.</w:t>
            </w:r>
          </w:p>
          <w:p w:rsidR="00382B43" w:rsidRPr="001F4CEA" w:rsidRDefault="00382B43" w:rsidP="00D66C67">
            <w:pPr>
              <w:rPr>
                <w:sz w:val="22"/>
                <w:szCs w:val="22"/>
              </w:rPr>
            </w:pPr>
            <w:r w:rsidRPr="001F4CEA">
              <w:rPr>
                <w:sz w:val="22"/>
                <w:szCs w:val="22"/>
              </w:rPr>
              <w:t>Dansk Energi vil endelig bemærke den ek</w:t>
            </w:r>
            <w:r w:rsidRPr="001F4CEA">
              <w:rPr>
                <w:sz w:val="22"/>
                <w:szCs w:val="22"/>
              </w:rPr>
              <w:t>s</w:t>
            </w:r>
            <w:r w:rsidRPr="001F4CEA">
              <w:rPr>
                <w:sz w:val="22"/>
                <w:szCs w:val="22"/>
              </w:rPr>
              <w:t>tremt korte høringsfrist. Det er beklageligt, at der ikke afsættes mere tid til en høringspr</w:t>
            </w:r>
            <w:r w:rsidRPr="001F4CEA">
              <w:rPr>
                <w:sz w:val="22"/>
                <w:szCs w:val="22"/>
              </w:rPr>
              <w:t>o</w:t>
            </w:r>
            <w:r w:rsidRPr="001F4CEA">
              <w:rPr>
                <w:sz w:val="22"/>
                <w:szCs w:val="22"/>
              </w:rPr>
              <w:t>ces, som normalt er 4 uger. Vi har naturligvis forståelse for, at der er tale om en presset s</w:t>
            </w:r>
            <w:r w:rsidRPr="001F4CEA">
              <w:rPr>
                <w:sz w:val="22"/>
                <w:szCs w:val="22"/>
              </w:rPr>
              <w:t>i</w:t>
            </w:r>
            <w:r w:rsidRPr="001F4CEA">
              <w:rPr>
                <w:sz w:val="22"/>
                <w:szCs w:val="22"/>
              </w:rPr>
              <w:t xml:space="preserve">tuation, da forsyningssikkerhedsafgiften skal finansiere </w:t>
            </w:r>
            <w:r w:rsidRPr="00094E64">
              <w:rPr>
                <w:i/>
                <w:sz w:val="22"/>
                <w:szCs w:val="22"/>
              </w:rPr>
              <w:t>Solcelleaftalen</w:t>
            </w:r>
            <w:r w:rsidRPr="001F4CEA">
              <w:rPr>
                <w:sz w:val="22"/>
                <w:szCs w:val="22"/>
              </w:rPr>
              <w:t xml:space="preserve">. </w:t>
            </w:r>
          </w:p>
        </w:tc>
        <w:tc>
          <w:tcPr>
            <w:tcW w:w="2991" w:type="dxa"/>
          </w:tcPr>
          <w:p w:rsidR="00F062FD" w:rsidRPr="00B565F8" w:rsidRDefault="006F38E5" w:rsidP="00D4642A">
            <w:pPr>
              <w:rPr>
                <w:rStyle w:val="Fremhv"/>
                <w:i w:val="0"/>
                <w:sz w:val="22"/>
                <w:szCs w:val="22"/>
              </w:rPr>
            </w:pPr>
            <w:r w:rsidRPr="00B565F8">
              <w:rPr>
                <w:rStyle w:val="Fremhv"/>
                <w:i w:val="0"/>
                <w:sz w:val="22"/>
                <w:szCs w:val="22"/>
              </w:rPr>
              <w:t>I forhold til det anførte vedr</w:t>
            </w:r>
            <w:r w:rsidRPr="00B565F8">
              <w:rPr>
                <w:rStyle w:val="Fremhv"/>
                <w:i w:val="0"/>
                <w:sz w:val="22"/>
                <w:szCs w:val="22"/>
              </w:rPr>
              <w:t>ø</w:t>
            </w:r>
            <w:r w:rsidRPr="00B565F8">
              <w:rPr>
                <w:rStyle w:val="Fremhv"/>
                <w:i w:val="0"/>
                <w:sz w:val="22"/>
                <w:szCs w:val="22"/>
              </w:rPr>
              <w:t>rende den afgiftsmæssige fo</w:t>
            </w:r>
            <w:r w:rsidRPr="00B565F8">
              <w:rPr>
                <w:rStyle w:val="Fremhv"/>
                <w:i w:val="0"/>
                <w:sz w:val="22"/>
                <w:szCs w:val="22"/>
              </w:rPr>
              <w:t>r</w:t>
            </w:r>
            <w:r w:rsidRPr="00B565F8">
              <w:rPr>
                <w:rStyle w:val="Fremhv"/>
                <w:i w:val="0"/>
                <w:sz w:val="22"/>
                <w:szCs w:val="22"/>
              </w:rPr>
              <w:t xml:space="preserve">skel på el og fossile brændsler, skal der gøres opmærksom på </w:t>
            </w:r>
            <w:r w:rsidR="00F062FD" w:rsidRPr="00B565F8">
              <w:rPr>
                <w:rStyle w:val="Fremhv"/>
                <w:i w:val="0"/>
                <w:sz w:val="22"/>
                <w:szCs w:val="22"/>
              </w:rPr>
              <w:t>finanslovsaftalen for 2013, hvor regeringen og Enhedsl</w:t>
            </w:r>
            <w:r w:rsidR="00F062FD" w:rsidRPr="00B565F8">
              <w:rPr>
                <w:rStyle w:val="Fremhv"/>
                <w:i w:val="0"/>
                <w:sz w:val="22"/>
                <w:szCs w:val="22"/>
              </w:rPr>
              <w:t>i</w:t>
            </w:r>
            <w:r w:rsidR="00F062FD" w:rsidRPr="00B565F8">
              <w:rPr>
                <w:rStyle w:val="Fremhv"/>
                <w:i w:val="0"/>
                <w:sz w:val="22"/>
                <w:szCs w:val="22"/>
              </w:rPr>
              <w:t>sten har gennemført en nedsæ</w:t>
            </w:r>
            <w:r w:rsidR="00F062FD" w:rsidRPr="00B565F8">
              <w:rPr>
                <w:rStyle w:val="Fremhv"/>
                <w:i w:val="0"/>
                <w:sz w:val="22"/>
                <w:szCs w:val="22"/>
              </w:rPr>
              <w:t>t</w:t>
            </w:r>
            <w:r w:rsidR="00F062FD" w:rsidRPr="00B565F8">
              <w:rPr>
                <w:rStyle w:val="Fremhv"/>
                <w:i w:val="0"/>
                <w:sz w:val="22"/>
                <w:szCs w:val="22"/>
              </w:rPr>
              <w:t>telse af afgiften på elvarme, hvorved afgiftsbelastningen på elvarme kommer til at svare til afgiftsbelastningen ved o</w:t>
            </w:r>
            <w:r w:rsidR="00F062FD" w:rsidRPr="00B565F8">
              <w:rPr>
                <w:rStyle w:val="Fremhv"/>
                <w:i w:val="0"/>
                <w:sz w:val="22"/>
                <w:szCs w:val="22"/>
              </w:rPr>
              <w:t>p</w:t>
            </w:r>
            <w:r w:rsidR="00F062FD" w:rsidRPr="00B565F8">
              <w:rPr>
                <w:rStyle w:val="Fremhv"/>
                <w:i w:val="0"/>
                <w:sz w:val="22"/>
                <w:szCs w:val="22"/>
              </w:rPr>
              <w:t>varmning baseret på olie og naturgas m.v.</w:t>
            </w:r>
          </w:p>
          <w:p w:rsidR="00B002BD" w:rsidRPr="001F4CEA" w:rsidRDefault="009C17C4" w:rsidP="00D4642A">
            <w:pPr>
              <w:rPr>
                <w:rStyle w:val="Fremhv"/>
                <w:i w:val="0"/>
                <w:sz w:val="22"/>
                <w:szCs w:val="22"/>
              </w:rPr>
            </w:pPr>
            <w:r w:rsidRPr="00B565F8">
              <w:rPr>
                <w:rStyle w:val="Fremhv"/>
                <w:i w:val="0"/>
                <w:sz w:val="22"/>
                <w:szCs w:val="22"/>
              </w:rPr>
              <w:t>Nedsættelsen af elvarmeafgi</w:t>
            </w:r>
            <w:r w:rsidRPr="00B565F8">
              <w:rPr>
                <w:rStyle w:val="Fremhv"/>
                <w:i w:val="0"/>
                <w:sz w:val="22"/>
                <w:szCs w:val="22"/>
              </w:rPr>
              <w:t>f</w:t>
            </w:r>
            <w:r w:rsidRPr="00B565F8">
              <w:rPr>
                <w:rStyle w:val="Fremhv"/>
                <w:i w:val="0"/>
                <w:sz w:val="22"/>
                <w:szCs w:val="22"/>
              </w:rPr>
              <w:t xml:space="preserve">ten blev gennemført ved lov nr. </w:t>
            </w:r>
            <w:r w:rsidR="0054645D" w:rsidRPr="00B565F8">
              <w:rPr>
                <w:rStyle w:val="Fremhv"/>
                <w:i w:val="0"/>
                <w:sz w:val="22"/>
                <w:szCs w:val="22"/>
              </w:rPr>
              <w:t>1395 af 23. december 2012.</w:t>
            </w:r>
          </w:p>
          <w:p w:rsidR="00760D07" w:rsidRPr="001F4CEA" w:rsidRDefault="00760D07" w:rsidP="00D4642A">
            <w:pPr>
              <w:rPr>
                <w:rStyle w:val="Fremhv"/>
                <w:i w:val="0"/>
                <w:sz w:val="22"/>
                <w:szCs w:val="22"/>
              </w:rPr>
            </w:pPr>
          </w:p>
          <w:p w:rsidR="00760D07" w:rsidRPr="001F4CEA" w:rsidRDefault="00760D07" w:rsidP="00D4642A">
            <w:pPr>
              <w:rPr>
                <w:rStyle w:val="Fremhv"/>
                <w:i w:val="0"/>
                <w:sz w:val="22"/>
                <w:szCs w:val="22"/>
              </w:rPr>
            </w:pPr>
          </w:p>
          <w:p w:rsidR="00760D07" w:rsidRPr="001F4CEA" w:rsidRDefault="00760D07" w:rsidP="00D4642A">
            <w:pPr>
              <w:rPr>
                <w:rStyle w:val="Fremhv"/>
                <w:i w:val="0"/>
                <w:sz w:val="22"/>
                <w:szCs w:val="22"/>
              </w:rPr>
            </w:pPr>
          </w:p>
          <w:p w:rsidR="00760D07" w:rsidRPr="001F4CEA" w:rsidRDefault="00760D07" w:rsidP="00D4642A">
            <w:pPr>
              <w:rPr>
                <w:rStyle w:val="Fremhv"/>
                <w:i w:val="0"/>
                <w:sz w:val="22"/>
                <w:szCs w:val="22"/>
              </w:rPr>
            </w:pPr>
          </w:p>
          <w:p w:rsidR="00760D07" w:rsidRDefault="00760D07" w:rsidP="00D4642A">
            <w:pPr>
              <w:rPr>
                <w:rStyle w:val="Fremhv"/>
                <w:i w:val="0"/>
                <w:sz w:val="22"/>
                <w:szCs w:val="22"/>
              </w:rPr>
            </w:pPr>
          </w:p>
          <w:p w:rsidR="00B565F8" w:rsidRPr="001F4CEA" w:rsidRDefault="00B565F8" w:rsidP="00D4642A">
            <w:pPr>
              <w:rPr>
                <w:rStyle w:val="Fremhv"/>
                <w:i w:val="0"/>
                <w:sz w:val="22"/>
                <w:szCs w:val="22"/>
              </w:rPr>
            </w:pPr>
          </w:p>
          <w:p w:rsidR="00760D07" w:rsidRPr="001F4CEA" w:rsidRDefault="00760D07" w:rsidP="00D4642A">
            <w:pPr>
              <w:rPr>
                <w:rStyle w:val="Fremhv"/>
                <w:i w:val="0"/>
                <w:sz w:val="22"/>
                <w:szCs w:val="22"/>
              </w:rPr>
            </w:pPr>
          </w:p>
          <w:p w:rsidR="00760D07" w:rsidRPr="001F4CEA" w:rsidRDefault="00760D07" w:rsidP="00D4642A">
            <w:pPr>
              <w:rPr>
                <w:rStyle w:val="Fremhv"/>
                <w:i w:val="0"/>
                <w:sz w:val="22"/>
                <w:szCs w:val="22"/>
              </w:rPr>
            </w:pPr>
            <w:r w:rsidRPr="001F4CEA">
              <w:rPr>
                <w:rStyle w:val="Fremhv"/>
                <w:i w:val="0"/>
                <w:sz w:val="22"/>
                <w:szCs w:val="22"/>
              </w:rPr>
              <w:t>Forsyningssikkerhedsafgiften på både fossile brændsler og biomasse skal finansiere en række energipolitiske initiat</w:t>
            </w:r>
            <w:r w:rsidRPr="001F4CEA">
              <w:rPr>
                <w:rStyle w:val="Fremhv"/>
                <w:i w:val="0"/>
                <w:sz w:val="22"/>
                <w:szCs w:val="22"/>
              </w:rPr>
              <w:t>i</w:t>
            </w:r>
            <w:r w:rsidRPr="001F4CEA">
              <w:rPr>
                <w:rStyle w:val="Fremhv"/>
                <w:i w:val="0"/>
                <w:sz w:val="22"/>
                <w:szCs w:val="22"/>
              </w:rPr>
              <w:t xml:space="preserve">ver som aftalt i </w:t>
            </w:r>
            <w:r w:rsidRPr="001F4CEA">
              <w:rPr>
                <w:rStyle w:val="Fremhv"/>
                <w:sz w:val="22"/>
                <w:szCs w:val="22"/>
              </w:rPr>
              <w:t>Energiaftalen 2012</w:t>
            </w:r>
            <w:r w:rsidRPr="001F4CEA">
              <w:rPr>
                <w:rStyle w:val="Fremhv"/>
                <w:i w:val="0"/>
                <w:sz w:val="22"/>
                <w:szCs w:val="22"/>
              </w:rPr>
              <w:t xml:space="preserve"> og </w:t>
            </w:r>
            <w:r w:rsidRPr="001F4CEA">
              <w:rPr>
                <w:rStyle w:val="Fremhv"/>
                <w:sz w:val="22"/>
                <w:szCs w:val="22"/>
              </w:rPr>
              <w:t>Solcelleaftalen</w:t>
            </w:r>
            <w:r w:rsidRPr="001F4CEA">
              <w:rPr>
                <w:rStyle w:val="Fremhv"/>
                <w:i w:val="0"/>
                <w:sz w:val="22"/>
                <w:szCs w:val="22"/>
              </w:rPr>
              <w:t xml:space="preserve">. </w:t>
            </w:r>
          </w:p>
          <w:p w:rsidR="00760D07" w:rsidRPr="001F4CEA" w:rsidRDefault="00760D07" w:rsidP="00D4642A">
            <w:pPr>
              <w:rPr>
                <w:rStyle w:val="Fremhv"/>
                <w:i w:val="0"/>
                <w:sz w:val="22"/>
                <w:szCs w:val="22"/>
              </w:rPr>
            </w:pPr>
            <w:r w:rsidRPr="001F4CEA">
              <w:rPr>
                <w:rStyle w:val="Fremhv"/>
                <w:i w:val="0"/>
                <w:sz w:val="22"/>
                <w:szCs w:val="22"/>
              </w:rPr>
              <w:t xml:space="preserve">Finansieringen af </w:t>
            </w:r>
            <w:r w:rsidRPr="001F4CEA">
              <w:rPr>
                <w:rStyle w:val="Fremhv"/>
                <w:sz w:val="22"/>
                <w:szCs w:val="22"/>
              </w:rPr>
              <w:t>Solcelleaft</w:t>
            </w:r>
            <w:r w:rsidRPr="001F4CEA">
              <w:rPr>
                <w:rStyle w:val="Fremhv"/>
                <w:sz w:val="22"/>
                <w:szCs w:val="22"/>
              </w:rPr>
              <w:t>a</w:t>
            </w:r>
            <w:r w:rsidRPr="001F4CEA">
              <w:rPr>
                <w:rStyle w:val="Fremhv"/>
                <w:sz w:val="22"/>
                <w:szCs w:val="22"/>
              </w:rPr>
              <w:t>len</w:t>
            </w:r>
            <w:r w:rsidRPr="001F4CEA">
              <w:rPr>
                <w:rStyle w:val="Fremhv"/>
                <w:i w:val="0"/>
                <w:sz w:val="22"/>
                <w:szCs w:val="22"/>
              </w:rPr>
              <w:t xml:space="preserve"> dækker perioden fra 2013-2020, og derfor har det været nødvendigt at fremrykke fre</w:t>
            </w:r>
            <w:r w:rsidRPr="001F4CEA">
              <w:rPr>
                <w:rStyle w:val="Fremhv"/>
                <w:i w:val="0"/>
                <w:sz w:val="22"/>
                <w:szCs w:val="22"/>
              </w:rPr>
              <w:t>m</w:t>
            </w:r>
            <w:r w:rsidRPr="001F4CEA">
              <w:rPr>
                <w:rStyle w:val="Fremhv"/>
                <w:i w:val="0"/>
                <w:sz w:val="22"/>
                <w:szCs w:val="22"/>
              </w:rPr>
              <w:t xml:space="preserve">sættelsen af dette lovforslag, da det </w:t>
            </w:r>
            <w:r w:rsidR="00235C70" w:rsidRPr="001F4CEA">
              <w:rPr>
                <w:rStyle w:val="Fremhv"/>
                <w:i w:val="0"/>
                <w:sz w:val="22"/>
                <w:szCs w:val="22"/>
              </w:rPr>
              <w:t>dækker finansieringsb</w:t>
            </w:r>
            <w:r w:rsidR="00235C70" w:rsidRPr="001F4CEA">
              <w:rPr>
                <w:rStyle w:val="Fremhv"/>
                <w:i w:val="0"/>
                <w:sz w:val="22"/>
                <w:szCs w:val="22"/>
              </w:rPr>
              <w:t>e</w:t>
            </w:r>
            <w:r w:rsidR="00235C70" w:rsidRPr="001F4CEA">
              <w:rPr>
                <w:rStyle w:val="Fremhv"/>
                <w:i w:val="0"/>
                <w:sz w:val="22"/>
                <w:szCs w:val="22"/>
              </w:rPr>
              <w:t xml:space="preserve">hovet for 2013. </w:t>
            </w:r>
          </w:p>
          <w:p w:rsidR="00235C70" w:rsidRDefault="00235C70" w:rsidP="00D4642A">
            <w:pPr>
              <w:rPr>
                <w:rStyle w:val="Fremhv"/>
                <w:i w:val="0"/>
                <w:sz w:val="22"/>
                <w:szCs w:val="22"/>
              </w:rPr>
            </w:pPr>
            <w:r w:rsidRPr="001F4CEA">
              <w:rPr>
                <w:rStyle w:val="Fremhv"/>
                <w:i w:val="0"/>
                <w:sz w:val="22"/>
                <w:szCs w:val="22"/>
              </w:rPr>
              <w:t>Den anden del af forsyning</w:t>
            </w:r>
            <w:r w:rsidRPr="001F4CEA">
              <w:rPr>
                <w:rStyle w:val="Fremhv"/>
                <w:i w:val="0"/>
                <w:sz w:val="22"/>
                <w:szCs w:val="22"/>
              </w:rPr>
              <w:t>s</w:t>
            </w:r>
            <w:r w:rsidRPr="001F4CEA">
              <w:rPr>
                <w:rStyle w:val="Fremhv"/>
                <w:i w:val="0"/>
                <w:sz w:val="22"/>
                <w:szCs w:val="22"/>
              </w:rPr>
              <w:t>sikkerhedsafgiften, der vedr</w:t>
            </w:r>
            <w:r w:rsidRPr="001F4CEA">
              <w:rPr>
                <w:rStyle w:val="Fremhv"/>
                <w:i w:val="0"/>
                <w:sz w:val="22"/>
                <w:szCs w:val="22"/>
              </w:rPr>
              <w:t>ø</w:t>
            </w:r>
            <w:r w:rsidRPr="001F4CEA">
              <w:rPr>
                <w:rStyle w:val="Fremhv"/>
                <w:i w:val="0"/>
                <w:sz w:val="22"/>
                <w:szCs w:val="22"/>
              </w:rPr>
              <w:t>rer indførelsen af en afgift på biomasse til rumvarme, er st</w:t>
            </w:r>
            <w:r w:rsidRPr="001F4CEA">
              <w:rPr>
                <w:rStyle w:val="Fremhv"/>
                <w:i w:val="0"/>
                <w:sz w:val="22"/>
                <w:szCs w:val="22"/>
              </w:rPr>
              <w:t>a</w:t>
            </w:r>
            <w:r w:rsidRPr="001F4CEA">
              <w:rPr>
                <w:rStyle w:val="Fremhv"/>
                <w:i w:val="0"/>
                <w:sz w:val="22"/>
                <w:szCs w:val="22"/>
              </w:rPr>
              <w:t>dig under udarbejdelse. Indf</w:t>
            </w:r>
            <w:r w:rsidRPr="001F4CEA">
              <w:rPr>
                <w:rStyle w:val="Fremhv"/>
                <w:i w:val="0"/>
                <w:sz w:val="22"/>
                <w:szCs w:val="22"/>
              </w:rPr>
              <w:t>ø</w:t>
            </w:r>
            <w:r w:rsidRPr="001F4CEA">
              <w:rPr>
                <w:rStyle w:val="Fremhv"/>
                <w:i w:val="0"/>
                <w:sz w:val="22"/>
                <w:szCs w:val="22"/>
              </w:rPr>
              <w:t>relse af en ny afgift på bioma</w:t>
            </w:r>
            <w:r w:rsidRPr="001F4CEA">
              <w:rPr>
                <w:rStyle w:val="Fremhv"/>
                <w:i w:val="0"/>
                <w:sz w:val="22"/>
                <w:szCs w:val="22"/>
              </w:rPr>
              <w:t>s</w:t>
            </w:r>
            <w:r w:rsidRPr="001F4CEA">
              <w:rPr>
                <w:rStyle w:val="Fremhv"/>
                <w:i w:val="0"/>
                <w:sz w:val="22"/>
                <w:szCs w:val="22"/>
              </w:rPr>
              <w:t>se kræver et grundigt analys</w:t>
            </w:r>
            <w:r w:rsidRPr="001F4CEA">
              <w:rPr>
                <w:rStyle w:val="Fremhv"/>
                <w:i w:val="0"/>
                <w:sz w:val="22"/>
                <w:szCs w:val="22"/>
              </w:rPr>
              <w:t>e</w:t>
            </w:r>
            <w:r w:rsidRPr="001F4CEA">
              <w:rPr>
                <w:rStyle w:val="Fremhv"/>
                <w:i w:val="0"/>
                <w:sz w:val="22"/>
                <w:szCs w:val="22"/>
              </w:rPr>
              <w:t>arbejde og afklaring af bl.a. de EU-retlige konsekvenser. Det har tidsmæssigt ikke været m</w:t>
            </w:r>
            <w:r w:rsidRPr="001F4CEA">
              <w:rPr>
                <w:rStyle w:val="Fremhv"/>
                <w:i w:val="0"/>
                <w:sz w:val="22"/>
                <w:szCs w:val="22"/>
              </w:rPr>
              <w:t>u</w:t>
            </w:r>
            <w:r w:rsidRPr="001F4CEA">
              <w:rPr>
                <w:rStyle w:val="Fremhv"/>
                <w:i w:val="0"/>
                <w:sz w:val="22"/>
                <w:szCs w:val="22"/>
              </w:rPr>
              <w:t xml:space="preserve">ligt at fremsætte de to dele samlet.    </w:t>
            </w:r>
          </w:p>
          <w:p w:rsidR="00A85BB9" w:rsidRDefault="00A85BB9" w:rsidP="00D4642A">
            <w:pPr>
              <w:rPr>
                <w:rStyle w:val="Fremhv"/>
                <w:i w:val="0"/>
                <w:sz w:val="22"/>
                <w:szCs w:val="22"/>
              </w:rPr>
            </w:pPr>
          </w:p>
          <w:p w:rsidR="00A85BB9" w:rsidRDefault="00A85BB9" w:rsidP="00D4642A">
            <w:pPr>
              <w:rPr>
                <w:rStyle w:val="Fremhv"/>
                <w:i w:val="0"/>
                <w:sz w:val="22"/>
                <w:szCs w:val="22"/>
              </w:rPr>
            </w:pPr>
          </w:p>
          <w:p w:rsidR="00633FE6" w:rsidRDefault="00633FE6" w:rsidP="00D4642A">
            <w:pPr>
              <w:rPr>
                <w:rStyle w:val="Fremhv"/>
                <w:i w:val="0"/>
                <w:sz w:val="22"/>
                <w:szCs w:val="22"/>
              </w:rPr>
            </w:pPr>
          </w:p>
          <w:p w:rsidR="00633FE6" w:rsidRDefault="00633FE6" w:rsidP="00D4642A">
            <w:pPr>
              <w:rPr>
                <w:rStyle w:val="Fremhv"/>
                <w:i w:val="0"/>
                <w:sz w:val="22"/>
                <w:szCs w:val="22"/>
              </w:rPr>
            </w:pPr>
          </w:p>
          <w:p w:rsidR="00633FE6" w:rsidRDefault="00633FE6" w:rsidP="00D4642A">
            <w:pPr>
              <w:rPr>
                <w:rStyle w:val="Fremhv"/>
                <w:i w:val="0"/>
                <w:sz w:val="22"/>
                <w:szCs w:val="22"/>
              </w:rPr>
            </w:pPr>
          </w:p>
          <w:p w:rsidR="00633FE6" w:rsidRDefault="00633FE6" w:rsidP="00D4642A">
            <w:pPr>
              <w:rPr>
                <w:rStyle w:val="Fremhv"/>
                <w:i w:val="0"/>
                <w:sz w:val="22"/>
                <w:szCs w:val="22"/>
              </w:rPr>
            </w:pPr>
          </w:p>
          <w:p w:rsidR="00A85BB9" w:rsidRPr="001F4CEA" w:rsidRDefault="00A85BB9" w:rsidP="00D4642A">
            <w:pPr>
              <w:rPr>
                <w:rStyle w:val="Fremhv"/>
                <w:i w:val="0"/>
                <w:sz w:val="22"/>
                <w:szCs w:val="22"/>
              </w:rPr>
            </w:pPr>
            <w:r>
              <w:rPr>
                <w:rStyle w:val="Fremhv"/>
                <w:i w:val="0"/>
                <w:sz w:val="22"/>
                <w:szCs w:val="22"/>
              </w:rPr>
              <w:t>Bemærkningerne vil indgå i det videre arbejde med fors</w:t>
            </w:r>
            <w:r>
              <w:rPr>
                <w:rStyle w:val="Fremhv"/>
                <w:i w:val="0"/>
                <w:sz w:val="22"/>
                <w:szCs w:val="22"/>
              </w:rPr>
              <w:t>y</w:t>
            </w:r>
            <w:r>
              <w:rPr>
                <w:rStyle w:val="Fremhv"/>
                <w:i w:val="0"/>
                <w:sz w:val="22"/>
                <w:szCs w:val="22"/>
              </w:rPr>
              <w:t xml:space="preserve">ningssikkerhedsafgiften på biomasse. </w:t>
            </w:r>
          </w:p>
          <w:p w:rsidR="00B002BD" w:rsidRPr="00633FE6" w:rsidRDefault="00B002BD" w:rsidP="00D4642A">
            <w:pPr>
              <w:rPr>
                <w:rStyle w:val="Fremhv"/>
                <w:i w:val="0"/>
                <w:sz w:val="22"/>
                <w:szCs w:val="22"/>
              </w:rPr>
            </w:pPr>
          </w:p>
          <w:p w:rsidR="00B002BD" w:rsidRPr="00633FE6" w:rsidRDefault="00B002BD" w:rsidP="00D4642A">
            <w:pPr>
              <w:rPr>
                <w:rStyle w:val="Fremhv"/>
                <w:i w:val="0"/>
                <w:sz w:val="22"/>
                <w:szCs w:val="22"/>
              </w:rPr>
            </w:pPr>
          </w:p>
          <w:p w:rsidR="00B002BD" w:rsidRPr="00633FE6" w:rsidRDefault="00B002BD" w:rsidP="00D4642A">
            <w:pPr>
              <w:rPr>
                <w:rStyle w:val="Fremhv"/>
                <w:i w:val="0"/>
                <w:sz w:val="22"/>
                <w:szCs w:val="22"/>
              </w:rPr>
            </w:pPr>
          </w:p>
          <w:p w:rsidR="00B002BD" w:rsidRPr="00633FE6" w:rsidRDefault="00B002BD" w:rsidP="00D4642A">
            <w:pPr>
              <w:rPr>
                <w:rStyle w:val="Fremhv"/>
                <w:i w:val="0"/>
                <w:sz w:val="22"/>
                <w:szCs w:val="22"/>
              </w:rPr>
            </w:pPr>
          </w:p>
          <w:p w:rsidR="00BE5C11" w:rsidRPr="003D641D" w:rsidRDefault="00BE5C11" w:rsidP="00D4642A">
            <w:pPr>
              <w:rPr>
                <w:rStyle w:val="Fremhv"/>
                <w:i w:val="0"/>
                <w:sz w:val="22"/>
                <w:szCs w:val="22"/>
              </w:rPr>
            </w:pPr>
          </w:p>
          <w:p w:rsidR="00B002BD" w:rsidRPr="001F4CEA" w:rsidRDefault="00D95220" w:rsidP="00D4642A">
            <w:pPr>
              <w:rPr>
                <w:rStyle w:val="Fremhv"/>
                <w:i w:val="0"/>
                <w:sz w:val="22"/>
                <w:szCs w:val="22"/>
              </w:rPr>
            </w:pPr>
            <w:r w:rsidRPr="001F4CEA">
              <w:rPr>
                <w:rStyle w:val="Fremhv"/>
                <w:i w:val="0"/>
                <w:sz w:val="22"/>
                <w:szCs w:val="22"/>
              </w:rPr>
              <w:t xml:space="preserve">Der henvises til </w:t>
            </w:r>
            <w:r w:rsidR="00474733">
              <w:rPr>
                <w:rStyle w:val="Fremhv"/>
                <w:i w:val="0"/>
                <w:sz w:val="22"/>
                <w:szCs w:val="22"/>
              </w:rPr>
              <w:t>kommentaren</w:t>
            </w:r>
            <w:r w:rsidRPr="001F4CEA">
              <w:rPr>
                <w:rStyle w:val="Fremhv"/>
                <w:i w:val="0"/>
                <w:sz w:val="22"/>
                <w:szCs w:val="22"/>
              </w:rPr>
              <w:t xml:space="preserve"> til Dansk Affaldsforening. </w:t>
            </w:r>
          </w:p>
          <w:p w:rsidR="00D95220" w:rsidRPr="001F4CEA" w:rsidRDefault="00D95220" w:rsidP="00D4642A">
            <w:pPr>
              <w:rPr>
                <w:rStyle w:val="Fremhv"/>
                <w:i w:val="0"/>
                <w:sz w:val="22"/>
                <w:szCs w:val="22"/>
              </w:rPr>
            </w:pPr>
          </w:p>
          <w:p w:rsidR="00D95220" w:rsidRPr="001F4CEA" w:rsidRDefault="00D95220" w:rsidP="00D4642A">
            <w:pPr>
              <w:rPr>
                <w:rStyle w:val="Fremhv"/>
                <w:i w:val="0"/>
                <w:sz w:val="22"/>
                <w:szCs w:val="22"/>
              </w:rPr>
            </w:pPr>
          </w:p>
          <w:p w:rsidR="00D95220" w:rsidRPr="001F4CEA" w:rsidRDefault="00D95220" w:rsidP="00D4642A">
            <w:pPr>
              <w:rPr>
                <w:rStyle w:val="Fremhv"/>
                <w:i w:val="0"/>
                <w:sz w:val="22"/>
                <w:szCs w:val="22"/>
              </w:rPr>
            </w:pPr>
          </w:p>
          <w:p w:rsidR="00D95220" w:rsidRPr="001F4CEA" w:rsidRDefault="00D95220" w:rsidP="00D4642A">
            <w:pPr>
              <w:rPr>
                <w:rStyle w:val="Fremhv"/>
                <w:i w:val="0"/>
                <w:sz w:val="22"/>
                <w:szCs w:val="22"/>
              </w:rPr>
            </w:pPr>
          </w:p>
          <w:p w:rsidR="00D95220" w:rsidRPr="001F4CEA" w:rsidRDefault="00D95220" w:rsidP="00D4642A">
            <w:pPr>
              <w:rPr>
                <w:rStyle w:val="Fremhv"/>
                <w:i w:val="0"/>
                <w:sz w:val="22"/>
                <w:szCs w:val="22"/>
              </w:rPr>
            </w:pPr>
          </w:p>
          <w:p w:rsidR="00D95220" w:rsidRPr="001F4CEA" w:rsidRDefault="00D95220" w:rsidP="00D4642A">
            <w:pPr>
              <w:rPr>
                <w:rStyle w:val="Fremhv"/>
                <w:i w:val="0"/>
                <w:sz w:val="22"/>
                <w:szCs w:val="22"/>
              </w:rPr>
            </w:pPr>
          </w:p>
          <w:p w:rsidR="00D95220" w:rsidRPr="001F4CEA" w:rsidRDefault="00D95220" w:rsidP="00D4642A">
            <w:pPr>
              <w:rPr>
                <w:rStyle w:val="Fremhv"/>
                <w:i w:val="0"/>
                <w:sz w:val="22"/>
                <w:szCs w:val="22"/>
              </w:rPr>
            </w:pPr>
          </w:p>
          <w:p w:rsidR="00D95220" w:rsidRPr="001F4CEA" w:rsidRDefault="00D95220" w:rsidP="00D4642A">
            <w:pPr>
              <w:rPr>
                <w:rStyle w:val="Fremhv"/>
                <w:i w:val="0"/>
                <w:sz w:val="22"/>
                <w:szCs w:val="22"/>
              </w:rPr>
            </w:pPr>
            <w:r w:rsidRPr="001F4CEA">
              <w:rPr>
                <w:rStyle w:val="Fremhv"/>
                <w:i w:val="0"/>
                <w:sz w:val="22"/>
                <w:szCs w:val="22"/>
              </w:rPr>
              <w:t xml:space="preserve">Der henvises til </w:t>
            </w:r>
            <w:r w:rsidR="00474733">
              <w:rPr>
                <w:rStyle w:val="Fremhv"/>
                <w:i w:val="0"/>
                <w:sz w:val="22"/>
                <w:szCs w:val="22"/>
              </w:rPr>
              <w:t>kommentaren</w:t>
            </w:r>
            <w:r w:rsidRPr="001F4CEA">
              <w:rPr>
                <w:rStyle w:val="Fremhv"/>
                <w:i w:val="0"/>
                <w:sz w:val="22"/>
                <w:szCs w:val="22"/>
              </w:rPr>
              <w:t xml:space="preserve"> til Advokatrådet. </w:t>
            </w:r>
          </w:p>
          <w:p w:rsidR="00B002BD" w:rsidRPr="001F4CEA" w:rsidRDefault="00B002BD" w:rsidP="00D4642A">
            <w:pPr>
              <w:rPr>
                <w:rStyle w:val="Fremhv"/>
                <w:i w:val="0"/>
                <w:sz w:val="22"/>
                <w:szCs w:val="22"/>
              </w:rPr>
            </w:pPr>
          </w:p>
          <w:p w:rsidR="00B002BD" w:rsidRPr="001F4CEA" w:rsidRDefault="00B002BD" w:rsidP="00D4642A">
            <w:pPr>
              <w:rPr>
                <w:rStyle w:val="Fremhv"/>
                <w:sz w:val="22"/>
                <w:szCs w:val="22"/>
              </w:rPr>
            </w:pPr>
          </w:p>
        </w:tc>
      </w:tr>
      <w:tr w:rsidR="00FC7C92" w:rsidRPr="001F4CEA" w:rsidTr="00A56C38">
        <w:tc>
          <w:tcPr>
            <w:tcW w:w="1809" w:type="dxa"/>
          </w:tcPr>
          <w:p w:rsidR="00FC7C92" w:rsidRPr="001F4CEA" w:rsidRDefault="00AD6414">
            <w:pPr>
              <w:rPr>
                <w:sz w:val="22"/>
                <w:szCs w:val="22"/>
              </w:rPr>
            </w:pPr>
            <w:r w:rsidRPr="001F4CEA">
              <w:rPr>
                <w:sz w:val="22"/>
                <w:szCs w:val="22"/>
              </w:rPr>
              <w:t>Dansk Industri (DI)</w:t>
            </w:r>
          </w:p>
        </w:tc>
        <w:tc>
          <w:tcPr>
            <w:tcW w:w="4245" w:type="dxa"/>
          </w:tcPr>
          <w:p w:rsidR="00FC7C92" w:rsidRPr="001F4CEA" w:rsidRDefault="00AD6414" w:rsidP="00FF6AA8">
            <w:pPr>
              <w:rPr>
                <w:sz w:val="22"/>
                <w:szCs w:val="22"/>
              </w:rPr>
            </w:pPr>
            <w:r w:rsidRPr="001F4CEA">
              <w:rPr>
                <w:sz w:val="22"/>
                <w:szCs w:val="22"/>
              </w:rPr>
              <w:t xml:space="preserve">DI </w:t>
            </w:r>
            <w:r w:rsidR="00FF6AA8" w:rsidRPr="001F4CEA">
              <w:rPr>
                <w:sz w:val="22"/>
                <w:szCs w:val="22"/>
              </w:rPr>
              <w:t>er overordnet tilfreds med energiaftalen, der giver den nødvendige forudsigelighed og stabilitet om virksomhedernes vilkår på Energiområdet frem mod 2020. Samtidig si</w:t>
            </w:r>
            <w:r w:rsidR="00FF6AA8" w:rsidRPr="001F4CEA">
              <w:rPr>
                <w:sz w:val="22"/>
                <w:szCs w:val="22"/>
              </w:rPr>
              <w:t>k</w:t>
            </w:r>
            <w:r w:rsidR="00FF6AA8" w:rsidRPr="001F4CEA">
              <w:rPr>
                <w:sz w:val="22"/>
                <w:szCs w:val="22"/>
              </w:rPr>
              <w:t>rer aftalen en betydelig begrænsning af den yderligere belastning, som lægges på e</w:t>
            </w:r>
            <w:r w:rsidR="00FF6AA8" w:rsidRPr="001F4CEA">
              <w:rPr>
                <w:sz w:val="22"/>
                <w:szCs w:val="22"/>
              </w:rPr>
              <w:t>r</w:t>
            </w:r>
            <w:r w:rsidR="00FF6AA8" w:rsidRPr="001F4CEA">
              <w:rPr>
                <w:sz w:val="22"/>
                <w:szCs w:val="22"/>
              </w:rPr>
              <w:t>hvervslivet. For de høje danske energiafgifter er allerede en alvorlig belastning for vir</w:t>
            </w:r>
            <w:r w:rsidR="00FF6AA8" w:rsidRPr="001F4CEA">
              <w:rPr>
                <w:sz w:val="22"/>
                <w:szCs w:val="22"/>
              </w:rPr>
              <w:t>k</w:t>
            </w:r>
            <w:r w:rsidR="00FF6AA8" w:rsidRPr="001F4CEA">
              <w:rPr>
                <w:sz w:val="22"/>
                <w:szCs w:val="22"/>
              </w:rPr>
              <w:t>somhedernes omkostninger og konkurrenc</w:t>
            </w:r>
            <w:r w:rsidR="00FF6AA8" w:rsidRPr="001F4CEA">
              <w:rPr>
                <w:sz w:val="22"/>
                <w:szCs w:val="22"/>
              </w:rPr>
              <w:t>e</w:t>
            </w:r>
            <w:r w:rsidR="00FF6AA8" w:rsidRPr="001F4CEA">
              <w:rPr>
                <w:sz w:val="22"/>
                <w:szCs w:val="22"/>
              </w:rPr>
              <w:t xml:space="preserve">evne. </w:t>
            </w:r>
          </w:p>
          <w:p w:rsidR="00FF6AA8" w:rsidRPr="001F4CEA" w:rsidRDefault="00FF6AA8" w:rsidP="00FF6AA8">
            <w:pPr>
              <w:rPr>
                <w:sz w:val="22"/>
                <w:szCs w:val="22"/>
              </w:rPr>
            </w:pPr>
            <w:r w:rsidRPr="001F4CEA">
              <w:rPr>
                <w:sz w:val="22"/>
                <w:szCs w:val="22"/>
              </w:rPr>
              <w:t xml:space="preserve">Med </w:t>
            </w:r>
            <w:r w:rsidRPr="001F4CEA">
              <w:rPr>
                <w:i/>
                <w:sz w:val="22"/>
                <w:szCs w:val="22"/>
              </w:rPr>
              <w:t>Solcelleaftalen</w:t>
            </w:r>
            <w:r w:rsidRPr="001F4CEA">
              <w:rPr>
                <w:sz w:val="22"/>
                <w:szCs w:val="22"/>
              </w:rPr>
              <w:t xml:space="preserve"> er det besluttet, at det statslige provenutab for den samlede udby</w:t>
            </w:r>
            <w:r w:rsidRPr="001F4CEA">
              <w:rPr>
                <w:sz w:val="22"/>
                <w:szCs w:val="22"/>
              </w:rPr>
              <w:t>g</w:t>
            </w:r>
            <w:r w:rsidRPr="001F4CEA">
              <w:rPr>
                <w:sz w:val="22"/>
                <w:szCs w:val="22"/>
              </w:rPr>
              <w:t>ning med solcelleanlæg m.v. finansieres ved en stigning i forsyningssikkerhedsafgiften i forhold til det aftalte i Energiaftalen 2012. DI vil gerne principielt tilkendegive, at det er problematisk udelukkende at håndtere statens finansieringsudfordring på ét isoleret område. Et provenutab som følge af en udvikling, der afviger fra det forventede på et område, o</w:t>
            </w:r>
            <w:r w:rsidRPr="001F4CEA">
              <w:rPr>
                <w:sz w:val="22"/>
                <w:szCs w:val="22"/>
              </w:rPr>
              <w:t>p</w:t>
            </w:r>
            <w:r w:rsidRPr="001F4CEA">
              <w:rPr>
                <w:sz w:val="22"/>
                <w:szCs w:val="22"/>
              </w:rPr>
              <w:t>vejes måske af en gunstigere udvikling på et andet område. Statens tilgang med et løbende uændret provenu fra energiafgifterne levner ikke plads til reelle omkostningsmæssige le</w:t>
            </w:r>
            <w:r w:rsidRPr="001F4CEA">
              <w:rPr>
                <w:sz w:val="22"/>
                <w:szCs w:val="22"/>
              </w:rPr>
              <w:t>t</w:t>
            </w:r>
            <w:r w:rsidRPr="001F4CEA">
              <w:rPr>
                <w:sz w:val="22"/>
                <w:szCs w:val="22"/>
              </w:rPr>
              <w:t>telser for erhvervslivets energiforbrug, sel</w:t>
            </w:r>
            <w:r w:rsidRPr="001F4CEA">
              <w:rPr>
                <w:sz w:val="22"/>
                <w:szCs w:val="22"/>
              </w:rPr>
              <w:t>v</w:t>
            </w:r>
            <w:r w:rsidRPr="001F4CEA">
              <w:rPr>
                <w:sz w:val="22"/>
                <w:szCs w:val="22"/>
              </w:rPr>
              <w:t>om der er gennemført betydelige energieffe</w:t>
            </w:r>
            <w:r w:rsidRPr="001F4CEA">
              <w:rPr>
                <w:sz w:val="22"/>
                <w:szCs w:val="22"/>
              </w:rPr>
              <w:t>k</w:t>
            </w:r>
            <w:r w:rsidRPr="001F4CEA">
              <w:rPr>
                <w:sz w:val="22"/>
                <w:szCs w:val="22"/>
              </w:rPr>
              <w:t xml:space="preserve">tiviseringer over tid. </w:t>
            </w:r>
            <w:r w:rsidR="0058176F" w:rsidRPr="001F4CEA">
              <w:rPr>
                <w:sz w:val="22"/>
                <w:szCs w:val="22"/>
              </w:rPr>
              <w:t>Det betyder, at de ko</w:t>
            </w:r>
            <w:r w:rsidR="0058176F" w:rsidRPr="001F4CEA">
              <w:rPr>
                <w:sz w:val="22"/>
                <w:szCs w:val="22"/>
              </w:rPr>
              <w:t>n</w:t>
            </w:r>
            <w:r w:rsidR="0058176F" w:rsidRPr="001F4CEA">
              <w:rPr>
                <w:sz w:val="22"/>
                <w:szCs w:val="22"/>
              </w:rPr>
              <w:t>kurrencemæssige fordele, som danske vir</w:t>
            </w:r>
            <w:r w:rsidR="0058176F" w:rsidRPr="001F4CEA">
              <w:rPr>
                <w:sz w:val="22"/>
                <w:szCs w:val="22"/>
              </w:rPr>
              <w:t>k</w:t>
            </w:r>
            <w:r w:rsidR="0058176F" w:rsidRPr="001F4CEA">
              <w:rPr>
                <w:sz w:val="22"/>
                <w:szCs w:val="22"/>
              </w:rPr>
              <w:t>somheder kunne have realiseret over for u</w:t>
            </w:r>
            <w:r w:rsidR="0058176F" w:rsidRPr="001F4CEA">
              <w:rPr>
                <w:sz w:val="22"/>
                <w:szCs w:val="22"/>
              </w:rPr>
              <w:t>d</w:t>
            </w:r>
            <w:r w:rsidR="0058176F" w:rsidRPr="001F4CEA">
              <w:rPr>
                <w:sz w:val="22"/>
                <w:szCs w:val="22"/>
              </w:rPr>
              <w:t>landet løbende udhules af nye og højere stat</w:t>
            </w:r>
            <w:r w:rsidR="0058176F" w:rsidRPr="001F4CEA">
              <w:rPr>
                <w:sz w:val="22"/>
                <w:szCs w:val="22"/>
              </w:rPr>
              <w:t>s</w:t>
            </w:r>
            <w:r w:rsidR="0058176F" w:rsidRPr="001F4CEA">
              <w:rPr>
                <w:sz w:val="22"/>
                <w:szCs w:val="22"/>
              </w:rPr>
              <w:t>lige energiafgifter. DI anbefaler, at det bliver en hovedprioritet for regeringen, at det ko</w:t>
            </w:r>
            <w:r w:rsidR="0058176F" w:rsidRPr="001F4CEA">
              <w:rPr>
                <w:sz w:val="22"/>
                <w:szCs w:val="22"/>
              </w:rPr>
              <w:t>m</w:t>
            </w:r>
            <w:r w:rsidR="0058176F" w:rsidRPr="001F4CEA">
              <w:rPr>
                <w:sz w:val="22"/>
                <w:szCs w:val="22"/>
              </w:rPr>
              <w:t>mende eftersyn af energiafgifterne sikrer rammer, der medfører et konkurrencedygtigt omkostningsniveau for danske virksomheder fremover.</w:t>
            </w:r>
          </w:p>
          <w:p w:rsidR="0058176F" w:rsidRPr="001F4CEA" w:rsidRDefault="0058176F" w:rsidP="00FF6AA8">
            <w:pPr>
              <w:rPr>
                <w:sz w:val="22"/>
                <w:szCs w:val="22"/>
              </w:rPr>
            </w:pPr>
            <w:r w:rsidRPr="001F4CEA">
              <w:rPr>
                <w:sz w:val="22"/>
                <w:szCs w:val="22"/>
              </w:rPr>
              <w:t>DI beder om, at sammenhængen til finansi</w:t>
            </w:r>
            <w:r w:rsidRPr="001F4CEA">
              <w:rPr>
                <w:sz w:val="22"/>
                <w:szCs w:val="22"/>
              </w:rPr>
              <w:t>e</w:t>
            </w:r>
            <w:r w:rsidRPr="001F4CEA">
              <w:rPr>
                <w:sz w:val="22"/>
                <w:szCs w:val="22"/>
              </w:rPr>
              <w:t>ringsbehovet fra forsyningssikkerhedsafgi</w:t>
            </w:r>
            <w:r w:rsidRPr="001F4CEA">
              <w:rPr>
                <w:sz w:val="22"/>
                <w:szCs w:val="22"/>
              </w:rPr>
              <w:t>f</w:t>
            </w:r>
            <w:r w:rsidRPr="001F4CEA">
              <w:rPr>
                <w:sz w:val="22"/>
                <w:szCs w:val="22"/>
              </w:rPr>
              <w:t>ten i Energiaftalen på i alt 2,8 mia. kr. klart fremgår af det kommende opfølgende lo</w:t>
            </w:r>
            <w:r w:rsidRPr="001F4CEA">
              <w:rPr>
                <w:sz w:val="22"/>
                <w:szCs w:val="22"/>
              </w:rPr>
              <w:t>v</w:t>
            </w:r>
            <w:r w:rsidRPr="001F4CEA">
              <w:rPr>
                <w:sz w:val="22"/>
                <w:szCs w:val="22"/>
              </w:rPr>
              <w:t>forslag. DI beder samtidig skatteministeriet oplyse, hvor stor en andel af de 2,8 mia. kr., der er blevet udmøntet med L 108.</w:t>
            </w:r>
          </w:p>
          <w:p w:rsidR="0058176F" w:rsidRPr="001F4CEA" w:rsidRDefault="0058176F" w:rsidP="00FF6AA8">
            <w:pPr>
              <w:rPr>
                <w:sz w:val="22"/>
                <w:szCs w:val="22"/>
              </w:rPr>
            </w:pPr>
            <w:r w:rsidRPr="001F4CEA">
              <w:rPr>
                <w:sz w:val="22"/>
                <w:szCs w:val="22"/>
              </w:rPr>
              <w:t>DI vil gerne understrege, at den aftalte le</w:t>
            </w:r>
            <w:r w:rsidRPr="001F4CEA">
              <w:rPr>
                <w:sz w:val="22"/>
                <w:szCs w:val="22"/>
              </w:rPr>
              <w:t>m</w:t>
            </w:r>
            <w:r w:rsidRPr="001F4CEA">
              <w:rPr>
                <w:sz w:val="22"/>
                <w:szCs w:val="22"/>
              </w:rPr>
              <w:t>pelse på proces skal reflektere udviklingen i det umiddelbare provenu, som det fremgår af tabel 1 i bemærkningerne til lovforslaget, jf. Klima-, Energi- og Bygningsminister Martin Lidegaards svar på spørgsmål 153 alm. del til Finansudvalget af 29. marts 2012. I den fo</w:t>
            </w:r>
            <w:r w:rsidRPr="001F4CEA">
              <w:rPr>
                <w:sz w:val="22"/>
                <w:szCs w:val="22"/>
              </w:rPr>
              <w:t>r</w:t>
            </w:r>
            <w:r w:rsidRPr="001F4CEA">
              <w:rPr>
                <w:sz w:val="22"/>
                <w:szCs w:val="22"/>
              </w:rPr>
              <w:t>bindelse beder DI Skatteministeriet om at bekræfte, at lempelsen opgøres på dette grundlag.</w:t>
            </w:r>
          </w:p>
          <w:p w:rsidR="0058176F" w:rsidRPr="001F4CEA" w:rsidRDefault="0058176F" w:rsidP="00A009E0">
            <w:pPr>
              <w:rPr>
                <w:sz w:val="22"/>
                <w:szCs w:val="22"/>
              </w:rPr>
            </w:pPr>
            <w:r w:rsidRPr="001F4CEA">
              <w:rPr>
                <w:sz w:val="22"/>
                <w:szCs w:val="22"/>
              </w:rPr>
              <w:t xml:space="preserve">Endelig beklager DI, at afgiften </w:t>
            </w:r>
            <w:r w:rsidR="00A009E0">
              <w:rPr>
                <w:sz w:val="22"/>
                <w:szCs w:val="22"/>
              </w:rPr>
              <w:t>på</w:t>
            </w:r>
            <w:r w:rsidRPr="001F4CEA">
              <w:rPr>
                <w:sz w:val="22"/>
                <w:szCs w:val="22"/>
              </w:rPr>
              <w:t xml:space="preserve"> ove</w:t>
            </w:r>
            <w:r w:rsidRPr="001F4CEA">
              <w:rPr>
                <w:sz w:val="22"/>
                <w:szCs w:val="22"/>
              </w:rPr>
              <w:t>r</w:t>
            </w:r>
            <w:r w:rsidRPr="001F4CEA">
              <w:rPr>
                <w:sz w:val="22"/>
                <w:szCs w:val="22"/>
              </w:rPr>
              <w:t>skudsvarme med L 108 sættes op. DI mener forsat, at der er behov for at lempe afgifterne på overskudsvarme, således at der kan udny</w:t>
            </w:r>
            <w:r w:rsidRPr="001F4CEA">
              <w:rPr>
                <w:sz w:val="22"/>
                <w:szCs w:val="22"/>
              </w:rPr>
              <w:t>t</w:t>
            </w:r>
            <w:r w:rsidRPr="001F4CEA">
              <w:rPr>
                <w:sz w:val="22"/>
                <w:szCs w:val="22"/>
              </w:rPr>
              <w:t xml:space="preserve">tes en større andel af dette varmepotentiale fremover, hvilket kan ske ved ikke at forhøje satserne på overskudsvarme i energilovene forholdsmæssigt efter afgiften på rumvarme.  </w:t>
            </w:r>
          </w:p>
        </w:tc>
        <w:tc>
          <w:tcPr>
            <w:tcW w:w="2991" w:type="dxa"/>
          </w:tcPr>
          <w:p w:rsidR="00844F80" w:rsidRPr="001F4CEA" w:rsidRDefault="00844F80">
            <w:pPr>
              <w:rPr>
                <w:sz w:val="22"/>
                <w:szCs w:val="22"/>
              </w:rPr>
            </w:pPr>
          </w:p>
          <w:p w:rsidR="00844F80" w:rsidRPr="001F4CEA" w:rsidRDefault="00844F80">
            <w:pPr>
              <w:rPr>
                <w:sz w:val="22"/>
                <w:szCs w:val="22"/>
              </w:rPr>
            </w:pPr>
          </w:p>
          <w:p w:rsidR="00844F80" w:rsidRPr="001F4CEA" w:rsidRDefault="00844F80">
            <w:pPr>
              <w:rPr>
                <w:sz w:val="22"/>
                <w:szCs w:val="22"/>
              </w:rPr>
            </w:pPr>
          </w:p>
          <w:p w:rsidR="00844F80" w:rsidRPr="001F4CEA" w:rsidRDefault="00844F80">
            <w:pPr>
              <w:rPr>
                <w:sz w:val="22"/>
                <w:szCs w:val="22"/>
              </w:rPr>
            </w:pPr>
          </w:p>
          <w:p w:rsidR="00844F80" w:rsidRPr="001F4CEA" w:rsidRDefault="00844F80">
            <w:pPr>
              <w:rPr>
                <w:sz w:val="22"/>
                <w:szCs w:val="22"/>
              </w:rPr>
            </w:pPr>
          </w:p>
          <w:p w:rsidR="00194AB1" w:rsidRDefault="00194AB1">
            <w:pPr>
              <w:rPr>
                <w:sz w:val="22"/>
                <w:szCs w:val="22"/>
              </w:rPr>
            </w:pPr>
          </w:p>
          <w:p w:rsidR="00CC04CE" w:rsidRDefault="00CC04CE">
            <w:pPr>
              <w:rPr>
                <w:sz w:val="22"/>
                <w:szCs w:val="22"/>
              </w:rPr>
            </w:pPr>
          </w:p>
          <w:p w:rsidR="00B830E8" w:rsidRDefault="00B830E8">
            <w:pPr>
              <w:rPr>
                <w:sz w:val="22"/>
                <w:szCs w:val="22"/>
              </w:rPr>
            </w:pPr>
          </w:p>
          <w:p w:rsidR="00B830E8" w:rsidRDefault="00B830E8">
            <w:pPr>
              <w:rPr>
                <w:sz w:val="22"/>
                <w:szCs w:val="22"/>
              </w:rPr>
            </w:pPr>
          </w:p>
          <w:p w:rsidR="00B830E8" w:rsidRDefault="00B830E8">
            <w:pPr>
              <w:rPr>
                <w:sz w:val="22"/>
                <w:szCs w:val="22"/>
              </w:rPr>
            </w:pPr>
          </w:p>
          <w:p w:rsidR="00B830E8" w:rsidRDefault="00B830E8">
            <w:pPr>
              <w:rPr>
                <w:sz w:val="22"/>
                <w:szCs w:val="22"/>
              </w:rPr>
            </w:pPr>
          </w:p>
          <w:p w:rsidR="00B830E8" w:rsidRDefault="00B830E8">
            <w:pPr>
              <w:rPr>
                <w:sz w:val="22"/>
                <w:szCs w:val="22"/>
              </w:rPr>
            </w:pPr>
          </w:p>
          <w:p w:rsidR="00B830E8" w:rsidRDefault="00B830E8">
            <w:pPr>
              <w:rPr>
                <w:sz w:val="22"/>
                <w:szCs w:val="22"/>
              </w:rPr>
            </w:pPr>
          </w:p>
          <w:p w:rsidR="00B830E8" w:rsidRDefault="00B830E8">
            <w:pPr>
              <w:rPr>
                <w:sz w:val="22"/>
                <w:szCs w:val="22"/>
              </w:rPr>
            </w:pPr>
          </w:p>
          <w:p w:rsidR="00B830E8" w:rsidRDefault="00B830E8">
            <w:pPr>
              <w:rPr>
                <w:sz w:val="22"/>
                <w:szCs w:val="22"/>
              </w:rPr>
            </w:pPr>
          </w:p>
          <w:p w:rsidR="00B830E8" w:rsidRDefault="00B830E8">
            <w:pPr>
              <w:rPr>
                <w:sz w:val="22"/>
                <w:szCs w:val="22"/>
              </w:rPr>
            </w:pPr>
          </w:p>
          <w:p w:rsidR="00B830E8" w:rsidRDefault="00B830E8">
            <w:pPr>
              <w:rPr>
                <w:sz w:val="22"/>
                <w:szCs w:val="22"/>
              </w:rPr>
            </w:pPr>
          </w:p>
          <w:p w:rsidR="00B830E8" w:rsidRDefault="00B830E8">
            <w:pPr>
              <w:rPr>
                <w:sz w:val="22"/>
                <w:szCs w:val="22"/>
              </w:rPr>
            </w:pPr>
          </w:p>
          <w:p w:rsidR="00B830E8" w:rsidRDefault="00B830E8">
            <w:pPr>
              <w:rPr>
                <w:sz w:val="22"/>
                <w:szCs w:val="22"/>
              </w:rPr>
            </w:pPr>
          </w:p>
          <w:p w:rsidR="00192170" w:rsidRDefault="00192170">
            <w:pPr>
              <w:rPr>
                <w:sz w:val="22"/>
                <w:szCs w:val="22"/>
              </w:rPr>
            </w:pPr>
          </w:p>
          <w:p w:rsidR="00FB57CC" w:rsidRPr="00FB57CC" w:rsidRDefault="00FB57CC" w:rsidP="00FB57CC">
            <w:pPr>
              <w:rPr>
                <w:sz w:val="22"/>
                <w:szCs w:val="22"/>
              </w:rPr>
            </w:pPr>
            <w:r w:rsidRPr="00FB57CC">
              <w:rPr>
                <w:sz w:val="22"/>
                <w:szCs w:val="22"/>
              </w:rPr>
              <w:t xml:space="preserve">Lovforslaget imødekommer finansieringsbehovet i 2013 vedrørende </w:t>
            </w:r>
            <w:r w:rsidRPr="00FB57CC">
              <w:rPr>
                <w:i/>
                <w:sz w:val="22"/>
                <w:szCs w:val="22"/>
              </w:rPr>
              <w:t>Energiaftalen 2012</w:t>
            </w:r>
            <w:r w:rsidRPr="00FB57CC">
              <w:rPr>
                <w:sz w:val="22"/>
                <w:szCs w:val="22"/>
              </w:rPr>
              <w:t xml:space="preserve"> og </w:t>
            </w:r>
            <w:r w:rsidRPr="00FB57CC">
              <w:rPr>
                <w:i/>
                <w:sz w:val="22"/>
                <w:szCs w:val="22"/>
              </w:rPr>
              <w:t>Solcelleaftalen</w:t>
            </w:r>
            <w:r w:rsidRPr="00FB57CC">
              <w:rPr>
                <w:sz w:val="22"/>
                <w:szCs w:val="22"/>
              </w:rPr>
              <w:t>.</w:t>
            </w:r>
          </w:p>
          <w:p w:rsidR="00FB57CC" w:rsidRPr="00FB57CC" w:rsidRDefault="00FB57CC" w:rsidP="00FB57CC">
            <w:pPr>
              <w:rPr>
                <w:sz w:val="22"/>
                <w:szCs w:val="22"/>
              </w:rPr>
            </w:pPr>
            <w:r w:rsidRPr="00FB57CC">
              <w:rPr>
                <w:sz w:val="22"/>
                <w:szCs w:val="22"/>
              </w:rPr>
              <w:t>Lovforslaget udmønter således kun en begrænset andel af f</w:t>
            </w:r>
            <w:r w:rsidRPr="00FB57CC">
              <w:rPr>
                <w:sz w:val="22"/>
                <w:szCs w:val="22"/>
              </w:rPr>
              <w:t>i</w:t>
            </w:r>
            <w:r w:rsidRPr="00FB57CC">
              <w:rPr>
                <w:sz w:val="22"/>
                <w:szCs w:val="22"/>
              </w:rPr>
              <w:t xml:space="preserve">nansieringsbehovet i 2020.  </w:t>
            </w:r>
          </w:p>
          <w:p w:rsidR="00FB57CC" w:rsidRPr="00FB57CC" w:rsidRDefault="00FB57CC" w:rsidP="00FB57CC">
            <w:pPr>
              <w:rPr>
                <w:sz w:val="22"/>
                <w:szCs w:val="22"/>
              </w:rPr>
            </w:pPr>
            <w:r w:rsidRPr="00FB57CC">
              <w:rPr>
                <w:sz w:val="22"/>
                <w:szCs w:val="22"/>
              </w:rPr>
              <w:t>Den anden del af forsynings-sikkerhedsafgiften, der vedr</w:t>
            </w:r>
            <w:r w:rsidRPr="00FB57CC">
              <w:rPr>
                <w:sz w:val="22"/>
                <w:szCs w:val="22"/>
              </w:rPr>
              <w:t>ø</w:t>
            </w:r>
            <w:r w:rsidRPr="00FB57CC">
              <w:rPr>
                <w:sz w:val="22"/>
                <w:szCs w:val="22"/>
              </w:rPr>
              <w:t>rer indførelsen af en afgift på biomasse til rumvarme, vil udmønte det årlige fina</w:t>
            </w:r>
            <w:r w:rsidR="00A009E0">
              <w:rPr>
                <w:sz w:val="22"/>
                <w:szCs w:val="22"/>
              </w:rPr>
              <w:t>n</w:t>
            </w:r>
            <w:r w:rsidRPr="00FB57CC">
              <w:rPr>
                <w:sz w:val="22"/>
                <w:szCs w:val="22"/>
              </w:rPr>
              <w:t>si</w:t>
            </w:r>
            <w:r w:rsidRPr="00FB57CC">
              <w:rPr>
                <w:sz w:val="22"/>
                <w:szCs w:val="22"/>
              </w:rPr>
              <w:t>e</w:t>
            </w:r>
            <w:r w:rsidRPr="00FB57CC">
              <w:rPr>
                <w:sz w:val="22"/>
                <w:szCs w:val="22"/>
              </w:rPr>
              <w:t xml:space="preserve">ringsbehov fra </w:t>
            </w:r>
            <w:r w:rsidRPr="00FB57CC">
              <w:rPr>
                <w:i/>
                <w:sz w:val="22"/>
                <w:szCs w:val="22"/>
              </w:rPr>
              <w:t xml:space="preserve">Energiaftalen 2012 </w:t>
            </w:r>
            <w:r w:rsidRPr="00FB57CC">
              <w:rPr>
                <w:sz w:val="22"/>
                <w:szCs w:val="22"/>
              </w:rPr>
              <w:t xml:space="preserve">og </w:t>
            </w:r>
            <w:r w:rsidRPr="00FB57CC">
              <w:rPr>
                <w:i/>
                <w:sz w:val="22"/>
                <w:szCs w:val="22"/>
              </w:rPr>
              <w:t>Solcelleaftalen</w:t>
            </w:r>
            <w:r w:rsidRPr="00FB57CC">
              <w:rPr>
                <w:sz w:val="22"/>
                <w:szCs w:val="22"/>
              </w:rPr>
              <w:t xml:space="preserve"> frem til og med 2020. </w:t>
            </w:r>
          </w:p>
          <w:p w:rsidR="007303B3" w:rsidRPr="001F4CEA" w:rsidRDefault="00170307">
            <w:pPr>
              <w:rPr>
                <w:sz w:val="22"/>
                <w:szCs w:val="22"/>
              </w:rPr>
            </w:pPr>
            <w:r>
              <w:rPr>
                <w:sz w:val="22"/>
                <w:szCs w:val="22"/>
              </w:rPr>
              <w:t>Det</w:t>
            </w:r>
            <w:r w:rsidR="00FB57CC" w:rsidRPr="00FB57CC">
              <w:rPr>
                <w:sz w:val="22"/>
                <w:szCs w:val="22"/>
              </w:rPr>
              <w:t xml:space="preserve"> kan ligeledes bekræfte</w:t>
            </w:r>
            <w:r w:rsidR="00267DFB">
              <w:rPr>
                <w:sz w:val="22"/>
                <w:szCs w:val="22"/>
              </w:rPr>
              <w:t>s</w:t>
            </w:r>
            <w:r w:rsidR="00FB57CC" w:rsidRPr="00FB57CC">
              <w:rPr>
                <w:sz w:val="22"/>
                <w:szCs w:val="22"/>
              </w:rPr>
              <w:t>, at lempelsen til proces vil blive opgjort i overenss</w:t>
            </w:r>
            <w:r w:rsidR="00FB57CC">
              <w:rPr>
                <w:sz w:val="22"/>
                <w:szCs w:val="22"/>
              </w:rPr>
              <w:t xml:space="preserve">temmelse med </w:t>
            </w:r>
            <w:r w:rsidR="00FB57CC" w:rsidRPr="00FB57CC">
              <w:rPr>
                <w:i/>
                <w:sz w:val="22"/>
                <w:szCs w:val="22"/>
              </w:rPr>
              <w:t>Energiaftalen 2012.</w:t>
            </w:r>
          </w:p>
          <w:p w:rsidR="00EA7D67" w:rsidRPr="001F4CEA" w:rsidRDefault="00EA7D67" w:rsidP="00EA7D67">
            <w:pPr>
              <w:rPr>
                <w:sz w:val="22"/>
                <w:szCs w:val="22"/>
              </w:rPr>
            </w:pPr>
            <w:r w:rsidRPr="001F4CEA">
              <w:rPr>
                <w:sz w:val="22"/>
                <w:szCs w:val="22"/>
              </w:rPr>
              <w:t>Den afgiftsmæssige behandli</w:t>
            </w:r>
            <w:r w:rsidR="00914A7F" w:rsidRPr="001F4CEA">
              <w:rPr>
                <w:sz w:val="22"/>
                <w:szCs w:val="22"/>
              </w:rPr>
              <w:t>ng af industriel overskudsvarme</w:t>
            </w:r>
            <w:r w:rsidRPr="001F4CEA">
              <w:rPr>
                <w:sz w:val="22"/>
                <w:szCs w:val="22"/>
              </w:rPr>
              <w:t xml:space="preserve"> tilsigter en balance mellem to overordnede hensyn.</w:t>
            </w:r>
          </w:p>
          <w:p w:rsidR="00EA7D67" w:rsidRPr="001F4CEA" w:rsidRDefault="00EA7D67" w:rsidP="00EA7D67">
            <w:pPr>
              <w:rPr>
                <w:sz w:val="22"/>
                <w:szCs w:val="22"/>
              </w:rPr>
            </w:pPr>
            <w:r w:rsidRPr="001F4CEA">
              <w:rPr>
                <w:sz w:val="22"/>
                <w:szCs w:val="22"/>
              </w:rPr>
              <w:t>Det ene hensyn er, at virkso</w:t>
            </w:r>
            <w:r w:rsidRPr="001F4CEA">
              <w:rPr>
                <w:sz w:val="22"/>
                <w:szCs w:val="22"/>
              </w:rPr>
              <w:t>m</w:t>
            </w:r>
            <w:r w:rsidRPr="001F4CEA">
              <w:rPr>
                <w:sz w:val="22"/>
                <w:szCs w:val="22"/>
              </w:rPr>
              <w:t>heder skal gives rimelige vilkår for at investere i en miljømæ</w:t>
            </w:r>
            <w:r w:rsidRPr="001F4CEA">
              <w:rPr>
                <w:sz w:val="22"/>
                <w:szCs w:val="22"/>
              </w:rPr>
              <w:t>s</w:t>
            </w:r>
            <w:r w:rsidRPr="001F4CEA">
              <w:rPr>
                <w:sz w:val="22"/>
                <w:szCs w:val="22"/>
              </w:rPr>
              <w:t xml:space="preserve">sig og økonomisk fornuftig udnyttelse af overskudsvarme, som kan reducere det samlede energiforbrug og som, hvis den ikke blev udnyttet, ellers ville gå til spilde. </w:t>
            </w:r>
          </w:p>
          <w:p w:rsidR="00EA7D67" w:rsidRPr="001F4CEA" w:rsidRDefault="00EA7D67" w:rsidP="00EA7D67">
            <w:pPr>
              <w:rPr>
                <w:sz w:val="22"/>
                <w:szCs w:val="22"/>
              </w:rPr>
            </w:pPr>
            <w:r w:rsidRPr="001F4CEA">
              <w:rPr>
                <w:sz w:val="22"/>
                <w:szCs w:val="22"/>
              </w:rPr>
              <w:t>Det andet hensyn er behovet for at undgå, at afgiftssystemet giver virksomheder et for stort incitament til »fremstilling« af »overskudsvarme« i ulige ko</w:t>
            </w:r>
            <w:r w:rsidRPr="001F4CEA">
              <w:rPr>
                <w:sz w:val="22"/>
                <w:szCs w:val="22"/>
              </w:rPr>
              <w:t>n</w:t>
            </w:r>
            <w:r w:rsidRPr="001F4CEA">
              <w:rPr>
                <w:sz w:val="22"/>
                <w:szCs w:val="22"/>
              </w:rPr>
              <w:t>kurrence med den almindelige afgiftsbelagte fjernvarmepr</w:t>
            </w:r>
            <w:r w:rsidRPr="001F4CEA">
              <w:rPr>
                <w:sz w:val="22"/>
                <w:szCs w:val="22"/>
              </w:rPr>
              <w:t>o</w:t>
            </w:r>
            <w:r w:rsidRPr="001F4CEA">
              <w:rPr>
                <w:sz w:val="22"/>
                <w:szCs w:val="22"/>
              </w:rPr>
              <w:t xml:space="preserve">duktion. </w:t>
            </w:r>
          </w:p>
          <w:p w:rsidR="00EA7D67" w:rsidRPr="001F4CEA" w:rsidRDefault="00914A7F" w:rsidP="00914A7F">
            <w:pPr>
              <w:rPr>
                <w:sz w:val="22"/>
                <w:szCs w:val="22"/>
              </w:rPr>
            </w:pPr>
            <w:r w:rsidRPr="001F4CEA">
              <w:rPr>
                <w:sz w:val="22"/>
                <w:szCs w:val="22"/>
              </w:rPr>
              <w:t>Satserne for overskudsvarm</w:t>
            </w:r>
            <w:r w:rsidRPr="001F4CEA">
              <w:rPr>
                <w:sz w:val="22"/>
                <w:szCs w:val="22"/>
              </w:rPr>
              <w:t>e</w:t>
            </w:r>
            <w:r w:rsidRPr="001F4CEA">
              <w:rPr>
                <w:sz w:val="22"/>
                <w:szCs w:val="22"/>
              </w:rPr>
              <w:t>afgiften er afstemt med satsen på brændsel til rumvarmefo</w:t>
            </w:r>
            <w:r w:rsidRPr="001F4CEA">
              <w:rPr>
                <w:sz w:val="22"/>
                <w:szCs w:val="22"/>
              </w:rPr>
              <w:t>r</w:t>
            </w:r>
            <w:r w:rsidRPr="001F4CEA">
              <w:rPr>
                <w:sz w:val="22"/>
                <w:szCs w:val="22"/>
              </w:rPr>
              <w:t>mål. Som følge heraf indeho</w:t>
            </w:r>
            <w:r w:rsidRPr="001F4CEA">
              <w:rPr>
                <w:sz w:val="22"/>
                <w:szCs w:val="22"/>
              </w:rPr>
              <w:t>l</w:t>
            </w:r>
            <w:r w:rsidRPr="001F4CEA">
              <w:rPr>
                <w:sz w:val="22"/>
                <w:szCs w:val="22"/>
              </w:rPr>
              <w:t>der forslaget en regulering he</w:t>
            </w:r>
            <w:r w:rsidRPr="001F4CEA">
              <w:rPr>
                <w:sz w:val="22"/>
                <w:szCs w:val="22"/>
              </w:rPr>
              <w:t>r</w:t>
            </w:r>
            <w:r w:rsidRPr="001F4CEA">
              <w:rPr>
                <w:sz w:val="22"/>
                <w:szCs w:val="22"/>
              </w:rPr>
              <w:t xml:space="preserve">af. </w:t>
            </w:r>
          </w:p>
        </w:tc>
      </w:tr>
      <w:tr w:rsidR="00243D80" w:rsidRPr="001F4CEA" w:rsidTr="00A56C38">
        <w:tc>
          <w:tcPr>
            <w:tcW w:w="1809" w:type="dxa"/>
          </w:tcPr>
          <w:p w:rsidR="00243D80" w:rsidRPr="001F4CEA" w:rsidRDefault="00243D80">
            <w:pPr>
              <w:rPr>
                <w:sz w:val="22"/>
                <w:szCs w:val="22"/>
              </w:rPr>
            </w:pPr>
            <w:r w:rsidRPr="001F4CEA">
              <w:rPr>
                <w:sz w:val="22"/>
                <w:szCs w:val="22"/>
              </w:rPr>
              <w:t>Dansk Fjernva</w:t>
            </w:r>
            <w:r w:rsidRPr="001F4CEA">
              <w:rPr>
                <w:sz w:val="22"/>
                <w:szCs w:val="22"/>
              </w:rPr>
              <w:t>r</w:t>
            </w:r>
            <w:r w:rsidRPr="001F4CEA">
              <w:rPr>
                <w:sz w:val="22"/>
                <w:szCs w:val="22"/>
              </w:rPr>
              <w:t>me</w:t>
            </w:r>
          </w:p>
        </w:tc>
        <w:tc>
          <w:tcPr>
            <w:tcW w:w="4245" w:type="dxa"/>
          </w:tcPr>
          <w:p w:rsidR="00243D80" w:rsidRPr="001F4CEA" w:rsidRDefault="00243D80" w:rsidP="00243D80">
            <w:pPr>
              <w:rPr>
                <w:sz w:val="22"/>
                <w:szCs w:val="22"/>
              </w:rPr>
            </w:pPr>
            <w:r w:rsidRPr="001F4CEA">
              <w:rPr>
                <w:sz w:val="22"/>
                <w:szCs w:val="22"/>
              </w:rPr>
              <w:t>Dansk Fjernvarme anerkender statens ønske om, at omstillingen af energisystemet bliver provenu-neutralt, og at der således må ske en omlægning af afgifterne i takt med at bræn</w:t>
            </w:r>
            <w:r w:rsidRPr="001F4CEA">
              <w:rPr>
                <w:sz w:val="22"/>
                <w:szCs w:val="22"/>
              </w:rPr>
              <w:t>d</w:t>
            </w:r>
            <w:r w:rsidRPr="001F4CEA">
              <w:rPr>
                <w:sz w:val="22"/>
                <w:szCs w:val="22"/>
              </w:rPr>
              <w:t>selssammensætningen ændres mod mere VE, men finder samlet set, at lovforslaget på en række pun</w:t>
            </w:r>
            <w:r w:rsidR="007B475A">
              <w:rPr>
                <w:sz w:val="22"/>
                <w:szCs w:val="22"/>
              </w:rPr>
              <w:t>kter dels går videre end dette.</w:t>
            </w:r>
          </w:p>
          <w:p w:rsidR="00243D80" w:rsidRPr="001F4CEA" w:rsidRDefault="00243D80" w:rsidP="00243D80">
            <w:pPr>
              <w:rPr>
                <w:sz w:val="22"/>
                <w:szCs w:val="22"/>
              </w:rPr>
            </w:pPr>
            <w:r w:rsidRPr="001F4CEA">
              <w:rPr>
                <w:sz w:val="22"/>
                <w:szCs w:val="22"/>
              </w:rPr>
              <w:t>Lovforslaget vil generelt forværre de natu</w:t>
            </w:r>
            <w:r w:rsidRPr="001F4CEA">
              <w:rPr>
                <w:sz w:val="22"/>
                <w:szCs w:val="22"/>
              </w:rPr>
              <w:t>r</w:t>
            </w:r>
            <w:r w:rsidRPr="001F4CEA">
              <w:rPr>
                <w:sz w:val="22"/>
                <w:szCs w:val="22"/>
              </w:rPr>
              <w:t>gasbaserede kraftvarmeværkers og varm</w:t>
            </w:r>
            <w:r w:rsidRPr="001F4CEA">
              <w:rPr>
                <w:sz w:val="22"/>
                <w:szCs w:val="22"/>
              </w:rPr>
              <w:t>e</w:t>
            </w:r>
            <w:r w:rsidRPr="001F4CEA">
              <w:rPr>
                <w:sz w:val="22"/>
                <w:szCs w:val="22"/>
              </w:rPr>
              <w:t>værkers konkurrenceevne overfor individue</w:t>
            </w:r>
            <w:r w:rsidRPr="001F4CEA">
              <w:rPr>
                <w:sz w:val="22"/>
                <w:szCs w:val="22"/>
              </w:rPr>
              <w:t>l</w:t>
            </w:r>
            <w:r w:rsidRPr="001F4CEA">
              <w:rPr>
                <w:sz w:val="22"/>
                <w:szCs w:val="22"/>
              </w:rPr>
              <w:t xml:space="preserve">le opvarmningsformer i form af direkte </w:t>
            </w:r>
            <w:proofErr w:type="spellStart"/>
            <w:r w:rsidRPr="001F4CEA">
              <w:rPr>
                <w:sz w:val="22"/>
                <w:szCs w:val="22"/>
              </w:rPr>
              <w:t>elo</w:t>
            </w:r>
            <w:r w:rsidRPr="001F4CEA">
              <w:rPr>
                <w:sz w:val="22"/>
                <w:szCs w:val="22"/>
              </w:rPr>
              <w:t>p</w:t>
            </w:r>
            <w:r w:rsidRPr="001F4CEA">
              <w:rPr>
                <w:sz w:val="22"/>
                <w:szCs w:val="22"/>
              </w:rPr>
              <w:t>varmning</w:t>
            </w:r>
            <w:proofErr w:type="spellEnd"/>
            <w:r w:rsidRPr="001F4CEA">
              <w:rPr>
                <w:sz w:val="22"/>
                <w:szCs w:val="22"/>
              </w:rPr>
              <w:t xml:space="preserve">, varmepumper og </w:t>
            </w:r>
            <w:proofErr w:type="spellStart"/>
            <w:r w:rsidRPr="001F4CEA">
              <w:rPr>
                <w:sz w:val="22"/>
                <w:szCs w:val="22"/>
              </w:rPr>
              <w:t>biomassefyr</w:t>
            </w:r>
            <w:proofErr w:type="spellEnd"/>
            <w:r w:rsidRPr="001F4CEA">
              <w:rPr>
                <w:sz w:val="22"/>
                <w:szCs w:val="22"/>
              </w:rPr>
              <w:t>. En konsekvens af lovforslaget bliver, at især de små/mindre decentrale fjernvarmeværker på naturgas, der i forvejen har de højeste va</w:t>
            </w:r>
            <w:r w:rsidRPr="001F4CEA">
              <w:rPr>
                <w:sz w:val="22"/>
                <w:szCs w:val="22"/>
              </w:rPr>
              <w:t>r</w:t>
            </w:r>
            <w:r w:rsidRPr="001F4CEA">
              <w:rPr>
                <w:sz w:val="22"/>
                <w:szCs w:val="22"/>
              </w:rPr>
              <w:t>mepriser, får de største prisstigninger. Da disse fjernvarmeværker ikke har mulighed for frit at vælge andre brændsler, får forslaget de største negative konsekvenser for va</w:t>
            </w:r>
            <w:r w:rsidR="00D6601A">
              <w:rPr>
                <w:sz w:val="22"/>
                <w:szCs w:val="22"/>
              </w:rPr>
              <w:t>rm</w:t>
            </w:r>
            <w:r w:rsidR="00D6601A">
              <w:rPr>
                <w:sz w:val="22"/>
                <w:szCs w:val="22"/>
              </w:rPr>
              <w:t>e</w:t>
            </w:r>
            <w:r w:rsidR="00D6601A">
              <w:rPr>
                <w:sz w:val="22"/>
                <w:szCs w:val="22"/>
              </w:rPr>
              <w:t>forbrugere</w:t>
            </w:r>
            <w:r w:rsidRPr="001F4CEA">
              <w:rPr>
                <w:sz w:val="22"/>
                <w:szCs w:val="22"/>
              </w:rPr>
              <w:t xml:space="preserve"> i de små byer. Dansk Fjernvarme vil gerne vide, om dette er tilsigtet, og om der vil være tilsvarende vilje til at rette op herpå?</w:t>
            </w:r>
          </w:p>
          <w:p w:rsidR="00ED74AC" w:rsidRPr="001F4CEA" w:rsidRDefault="00243D80" w:rsidP="00243D80">
            <w:pPr>
              <w:rPr>
                <w:sz w:val="22"/>
                <w:szCs w:val="22"/>
              </w:rPr>
            </w:pPr>
            <w:r w:rsidRPr="001F4CEA">
              <w:rPr>
                <w:sz w:val="22"/>
                <w:szCs w:val="22"/>
              </w:rPr>
              <w:t>Når hertil tillægges, at en 50 % vindkraftu</w:t>
            </w:r>
            <w:r w:rsidRPr="001F4CEA">
              <w:rPr>
                <w:sz w:val="22"/>
                <w:szCs w:val="22"/>
              </w:rPr>
              <w:t>d</w:t>
            </w:r>
            <w:r w:rsidRPr="001F4CEA">
              <w:rPr>
                <w:sz w:val="22"/>
                <w:szCs w:val="22"/>
              </w:rPr>
              <w:t>bygning vil fjerne store dele af den decentr</w:t>
            </w:r>
            <w:r w:rsidRPr="001F4CEA">
              <w:rPr>
                <w:sz w:val="22"/>
                <w:szCs w:val="22"/>
              </w:rPr>
              <w:t>a</w:t>
            </w:r>
            <w:r w:rsidRPr="001F4CEA">
              <w:rPr>
                <w:sz w:val="22"/>
                <w:szCs w:val="22"/>
              </w:rPr>
              <w:t>le kraftvarmeproduktion frem mod 2020, pga. manglende konkurrenceevne overfor fossil- og biomassebaserede central kraf</w:t>
            </w:r>
            <w:r w:rsidRPr="001F4CEA">
              <w:rPr>
                <w:sz w:val="22"/>
                <w:szCs w:val="22"/>
              </w:rPr>
              <w:t>t</w:t>
            </w:r>
            <w:r w:rsidRPr="001F4CEA">
              <w:rPr>
                <w:sz w:val="22"/>
                <w:szCs w:val="22"/>
              </w:rPr>
              <w:t xml:space="preserve">varme såvel som udenlandsk (kondens-) </w:t>
            </w:r>
            <w:proofErr w:type="spellStart"/>
            <w:r w:rsidRPr="001F4CEA">
              <w:rPr>
                <w:sz w:val="22"/>
                <w:szCs w:val="22"/>
              </w:rPr>
              <w:t>elproduktion</w:t>
            </w:r>
            <w:proofErr w:type="spellEnd"/>
            <w:r w:rsidRPr="001F4CEA">
              <w:rPr>
                <w:sz w:val="22"/>
                <w:szCs w:val="22"/>
              </w:rPr>
              <w:t>, ser fremtiden dyster ud for de decentrale fjernvarmeområder.</w:t>
            </w:r>
          </w:p>
          <w:p w:rsidR="00243D80" w:rsidRPr="001F4CEA" w:rsidRDefault="00243D80" w:rsidP="00243D80">
            <w:pPr>
              <w:rPr>
                <w:sz w:val="22"/>
                <w:szCs w:val="22"/>
              </w:rPr>
            </w:pPr>
            <w:r w:rsidRPr="001F4CEA">
              <w:rPr>
                <w:sz w:val="22"/>
                <w:szCs w:val="22"/>
              </w:rPr>
              <w:t>De manglende indtægter ved el-salg medf</w:t>
            </w:r>
            <w:r w:rsidRPr="001F4CEA">
              <w:rPr>
                <w:sz w:val="22"/>
                <w:szCs w:val="22"/>
              </w:rPr>
              <w:t>ø</w:t>
            </w:r>
            <w:r w:rsidRPr="001F4CEA">
              <w:rPr>
                <w:sz w:val="22"/>
                <w:szCs w:val="22"/>
              </w:rPr>
              <w:t>rer endnu højere varmepriser ved kedelpr</w:t>
            </w:r>
            <w:r w:rsidRPr="001F4CEA">
              <w:rPr>
                <w:sz w:val="22"/>
                <w:szCs w:val="22"/>
              </w:rPr>
              <w:t>o</w:t>
            </w:r>
            <w:r w:rsidRPr="001F4CEA">
              <w:rPr>
                <w:sz w:val="22"/>
                <w:szCs w:val="22"/>
              </w:rPr>
              <w:t>duktion. Det understreger behovet for, at det haster med at revurdere modellerne for pri</w:t>
            </w:r>
            <w:r w:rsidRPr="001F4CEA">
              <w:rPr>
                <w:sz w:val="22"/>
                <w:szCs w:val="22"/>
              </w:rPr>
              <w:t>s</w:t>
            </w:r>
            <w:r w:rsidRPr="001F4CEA">
              <w:rPr>
                <w:sz w:val="22"/>
                <w:szCs w:val="22"/>
              </w:rPr>
              <w:t xml:space="preserve">sætningen af ydelserne fra decentral kraft-varmeproduktion, hvis der også på sigt skal være en tilstrækkelig decentral kapacitet til rådighed til at kunne balancere </w:t>
            </w:r>
            <w:proofErr w:type="spellStart"/>
            <w:r w:rsidRPr="001F4CEA">
              <w:rPr>
                <w:sz w:val="22"/>
                <w:szCs w:val="22"/>
              </w:rPr>
              <w:t>elsystemet</w:t>
            </w:r>
            <w:proofErr w:type="spellEnd"/>
            <w:r w:rsidRPr="001F4CEA">
              <w:rPr>
                <w:sz w:val="22"/>
                <w:szCs w:val="22"/>
              </w:rPr>
              <w:t>, uden at Danmark gør sig afhængig af ude</w:t>
            </w:r>
            <w:r w:rsidRPr="001F4CEA">
              <w:rPr>
                <w:sz w:val="22"/>
                <w:szCs w:val="22"/>
              </w:rPr>
              <w:t>n</w:t>
            </w:r>
            <w:r w:rsidRPr="001F4CEA">
              <w:rPr>
                <w:sz w:val="22"/>
                <w:szCs w:val="22"/>
              </w:rPr>
              <w:t>landsk kapacitet.</w:t>
            </w:r>
          </w:p>
          <w:p w:rsidR="00243D80" w:rsidRPr="001F4CEA" w:rsidRDefault="00243D80" w:rsidP="00243D80">
            <w:pPr>
              <w:rPr>
                <w:sz w:val="22"/>
                <w:szCs w:val="22"/>
              </w:rPr>
            </w:pPr>
            <w:r w:rsidRPr="001F4CEA">
              <w:rPr>
                <w:sz w:val="22"/>
                <w:szCs w:val="22"/>
              </w:rPr>
              <w:t xml:space="preserve">De reducerede </w:t>
            </w:r>
            <w:proofErr w:type="spellStart"/>
            <w:r w:rsidRPr="001F4CEA">
              <w:rPr>
                <w:sz w:val="22"/>
                <w:szCs w:val="22"/>
              </w:rPr>
              <w:t>elindtægter</w:t>
            </w:r>
            <w:proofErr w:type="spellEnd"/>
            <w:r w:rsidRPr="001F4CEA">
              <w:rPr>
                <w:sz w:val="22"/>
                <w:szCs w:val="22"/>
              </w:rPr>
              <w:t xml:space="preserve"> sammen med a</w:t>
            </w:r>
            <w:r w:rsidRPr="001F4CEA">
              <w:rPr>
                <w:sz w:val="22"/>
                <w:szCs w:val="22"/>
              </w:rPr>
              <w:t>f</w:t>
            </w:r>
            <w:r w:rsidRPr="001F4CEA">
              <w:rPr>
                <w:sz w:val="22"/>
                <w:szCs w:val="22"/>
              </w:rPr>
              <w:t>giftsstigning sender efter Dansk Fjernvarmes vurdering de naturgasbaserede decentrale værker ud i en ond spiral. Værkerne kan a</w:t>
            </w:r>
            <w:r w:rsidRPr="001F4CEA">
              <w:rPr>
                <w:sz w:val="22"/>
                <w:szCs w:val="22"/>
              </w:rPr>
              <w:t>f</w:t>
            </w:r>
            <w:r w:rsidRPr="001F4CEA">
              <w:rPr>
                <w:sz w:val="22"/>
                <w:szCs w:val="22"/>
              </w:rPr>
              <w:t>bøde nogle af konsekvenserne ved at invest</w:t>
            </w:r>
            <w:r w:rsidRPr="001F4CEA">
              <w:rPr>
                <w:sz w:val="22"/>
                <w:szCs w:val="22"/>
              </w:rPr>
              <w:t>e</w:t>
            </w:r>
            <w:r w:rsidRPr="001F4CEA">
              <w:rPr>
                <w:sz w:val="22"/>
                <w:szCs w:val="22"/>
              </w:rPr>
              <w:t>re i solfangere og elvarmepumper, men det kan kun dække en del af varmegrundlaget og kan ikke holde varmeprisen afgørende nede. Det skyldes, at solen kun leverer tilstrækk</w:t>
            </w:r>
            <w:r w:rsidRPr="001F4CEA">
              <w:rPr>
                <w:sz w:val="22"/>
                <w:szCs w:val="22"/>
              </w:rPr>
              <w:t>e</w:t>
            </w:r>
            <w:r w:rsidRPr="001F4CEA">
              <w:rPr>
                <w:sz w:val="22"/>
                <w:szCs w:val="22"/>
              </w:rPr>
              <w:t>ligt meget varme om sommeren, hvor varm</w:t>
            </w:r>
            <w:r w:rsidRPr="001F4CEA">
              <w:rPr>
                <w:sz w:val="22"/>
                <w:szCs w:val="22"/>
              </w:rPr>
              <w:t>e</w:t>
            </w:r>
            <w:r w:rsidRPr="001F4CEA">
              <w:rPr>
                <w:sz w:val="22"/>
                <w:szCs w:val="22"/>
              </w:rPr>
              <w:t>salget er lavt og idet varmepumpen skal have en gratis varmekilde, som sjældent er til st</w:t>
            </w:r>
            <w:r w:rsidRPr="001F4CEA">
              <w:rPr>
                <w:sz w:val="22"/>
                <w:szCs w:val="22"/>
              </w:rPr>
              <w:t>e</w:t>
            </w:r>
            <w:r w:rsidRPr="001F4CEA">
              <w:rPr>
                <w:sz w:val="22"/>
                <w:szCs w:val="22"/>
              </w:rPr>
              <w:t>de i tilstrækkelig omfang, når der er brug for det om vinteren.</w:t>
            </w:r>
          </w:p>
          <w:p w:rsidR="00243D80" w:rsidRPr="001F4CEA" w:rsidRDefault="00243D80" w:rsidP="00243D80">
            <w:pPr>
              <w:rPr>
                <w:sz w:val="22"/>
                <w:szCs w:val="22"/>
              </w:rPr>
            </w:pPr>
            <w:r w:rsidRPr="001F4CEA">
              <w:rPr>
                <w:sz w:val="22"/>
                <w:szCs w:val="22"/>
              </w:rPr>
              <w:t>Konklusionen på den forringede konkurre</w:t>
            </w:r>
            <w:r w:rsidRPr="001F4CEA">
              <w:rPr>
                <w:sz w:val="22"/>
                <w:szCs w:val="22"/>
              </w:rPr>
              <w:t>n</w:t>
            </w:r>
            <w:r w:rsidRPr="001F4CEA">
              <w:rPr>
                <w:sz w:val="22"/>
                <w:szCs w:val="22"/>
              </w:rPr>
              <w:t>cesituation for fjernvarmen overfor individ</w:t>
            </w:r>
            <w:r w:rsidRPr="001F4CEA">
              <w:rPr>
                <w:sz w:val="22"/>
                <w:szCs w:val="22"/>
              </w:rPr>
              <w:t>u</w:t>
            </w:r>
            <w:r w:rsidRPr="001F4CEA">
              <w:rPr>
                <w:sz w:val="22"/>
                <w:szCs w:val="22"/>
              </w:rPr>
              <w:t>elle løsninger bliver, udover stigende priser for varmeforbrugerne, at de forventede ko</w:t>
            </w:r>
            <w:r w:rsidRPr="001F4CEA">
              <w:rPr>
                <w:sz w:val="22"/>
                <w:szCs w:val="22"/>
              </w:rPr>
              <w:t>n</w:t>
            </w:r>
            <w:r w:rsidRPr="001F4CEA">
              <w:rPr>
                <w:sz w:val="22"/>
                <w:szCs w:val="22"/>
              </w:rPr>
              <w:t>verteringer af fossile individuelle opvar</w:t>
            </w:r>
            <w:r w:rsidRPr="001F4CEA">
              <w:rPr>
                <w:sz w:val="22"/>
                <w:szCs w:val="22"/>
              </w:rPr>
              <w:t>m</w:t>
            </w:r>
            <w:r w:rsidRPr="001F4CEA">
              <w:rPr>
                <w:sz w:val="22"/>
                <w:szCs w:val="22"/>
              </w:rPr>
              <w:t>ningsformer som olie- og naturgasfyr til grøn og effektiv fjernvarme stopper, og at regeri</w:t>
            </w:r>
            <w:r w:rsidRPr="001F4CEA">
              <w:rPr>
                <w:sz w:val="22"/>
                <w:szCs w:val="22"/>
              </w:rPr>
              <w:t>n</w:t>
            </w:r>
            <w:r w:rsidRPr="001F4CEA">
              <w:rPr>
                <w:sz w:val="22"/>
                <w:szCs w:val="22"/>
              </w:rPr>
              <w:t>gens og folketingets energistrategi dermed ikke opfyldes.</w:t>
            </w:r>
          </w:p>
          <w:p w:rsidR="00243D80" w:rsidRPr="001F4CEA" w:rsidRDefault="00243D80" w:rsidP="00243D80">
            <w:pPr>
              <w:rPr>
                <w:sz w:val="22"/>
                <w:szCs w:val="22"/>
              </w:rPr>
            </w:pPr>
            <w:r w:rsidRPr="001F4CEA">
              <w:rPr>
                <w:sz w:val="22"/>
                <w:szCs w:val="22"/>
              </w:rPr>
              <w:t>Lovforslaget øger uligheden mellem de store og de små byer. Som følge heraf bør de små byer gives samme mulighed for at vælge a</w:t>
            </w:r>
            <w:r w:rsidRPr="001F4CEA">
              <w:rPr>
                <w:sz w:val="22"/>
                <w:szCs w:val="22"/>
              </w:rPr>
              <w:t>l</w:t>
            </w:r>
            <w:r w:rsidRPr="001F4CEA">
              <w:rPr>
                <w:sz w:val="22"/>
                <w:szCs w:val="22"/>
              </w:rPr>
              <w:t>ternative brændsler, som de store. Vi vurd</w:t>
            </w:r>
            <w:r w:rsidRPr="001F4CEA">
              <w:rPr>
                <w:sz w:val="22"/>
                <w:szCs w:val="22"/>
              </w:rPr>
              <w:t>e</w:t>
            </w:r>
            <w:r w:rsidRPr="001F4CEA">
              <w:rPr>
                <w:sz w:val="22"/>
                <w:szCs w:val="22"/>
              </w:rPr>
              <w:t>rer at den eneste måde at få gjort mindre byer konkurrencedygtige på, er ved at give dem frie valgmuligheder, således at de ikke fas</w:t>
            </w:r>
            <w:r w:rsidRPr="001F4CEA">
              <w:rPr>
                <w:sz w:val="22"/>
                <w:szCs w:val="22"/>
              </w:rPr>
              <w:t>t</w:t>
            </w:r>
            <w:r w:rsidRPr="001F4CEA">
              <w:rPr>
                <w:sz w:val="22"/>
                <w:szCs w:val="22"/>
              </w:rPr>
              <w:t>holdes på en dyr naturgas. Frit brændselsvalg trænger sig på som en del af løsningen.</w:t>
            </w:r>
          </w:p>
          <w:p w:rsidR="00243D80" w:rsidRPr="001F4CEA" w:rsidRDefault="00243D80" w:rsidP="00243D80">
            <w:pPr>
              <w:rPr>
                <w:sz w:val="22"/>
                <w:szCs w:val="22"/>
              </w:rPr>
            </w:pPr>
            <w:r w:rsidRPr="001F4CEA">
              <w:rPr>
                <w:sz w:val="22"/>
                <w:szCs w:val="22"/>
              </w:rPr>
              <w:t>Dansk Fjernvarme mener, at ikrafttrædelse</w:t>
            </w:r>
            <w:r w:rsidRPr="001F4CEA">
              <w:rPr>
                <w:sz w:val="22"/>
                <w:szCs w:val="22"/>
              </w:rPr>
              <w:t>s</w:t>
            </w:r>
            <w:r w:rsidRPr="001F4CEA">
              <w:rPr>
                <w:sz w:val="22"/>
                <w:szCs w:val="22"/>
              </w:rPr>
              <w:t>tidspunktet for så vidt angår forsyningssi</w:t>
            </w:r>
            <w:r w:rsidRPr="001F4CEA">
              <w:rPr>
                <w:sz w:val="22"/>
                <w:szCs w:val="22"/>
              </w:rPr>
              <w:t>k</w:t>
            </w:r>
            <w:r w:rsidRPr="001F4CEA">
              <w:rPr>
                <w:sz w:val="22"/>
                <w:szCs w:val="22"/>
              </w:rPr>
              <w:t>kerhedsafgiften den. 1. februar er med alt for kort varsel.</w:t>
            </w:r>
          </w:p>
          <w:p w:rsidR="00243D80" w:rsidRPr="001F4CEA" w:rsidRDefault="00243D80" w:rsidP="00243D80">
            <w:pPr>
              <w:rPr>
                <w:sz w:val="22"/>
                <w:szCs w:val="22"/>
              </w:rPr>
            </w:pPr>
            <w:r w:rsidRPr="001F4CEA">
              <w:rPr>
                <w:sz w:val="22"/>
                <w:szCs w:val="22"/>
              </w:rPr>
              <w:t>Stigningen har et omfang der i ikke uvæsen</w:t>
            </w:r>
            <w:r w:rsidRPr="001F4CEA">
              <w:rPr>
                <w:sz w:val="22"/>
                <w:szCs w:val="22"/>
              </w:rPr>
              <w:t>t</w:t>
            </w:r>
            <w:r w:rsidRPr="001F4CEA">
              <w:rPr>
                <w:sz w:val="22"/>
                <w:szCs w:val="22"/>
              </w:rPr>
              <w:t>ligt omfang påvirker fjernvarmeselskabernes økonomi for både budget og regnskab, og vil dermed udløse store ekstraregninger til fo</w:t>
            </w:r>
            <w:r w:rsidRPr="001F4CEA">
              <w:rPr>
                <w:sz w:val="22"/>
                <w:szCs w:val="22"/>
              </w:rPr>
              <w:t>r</w:t>
            </w:r>
            <w:r w:rsidRPr="001F4CEA">
              <w:rPr>
                <w:sz w:val="22"/>
                <w:szCs w:val="22"/>
              </w:rPr>
              <w:t>brugerne. Da afgiften er fiskal og dels skal finansiere provenutab ved konvertering af centrale kulværker til biomasse og op til 35 små dels decentrale kraftvarmeværkers fre</w:t>
            </w:r>
            <w:r w:rsidRPr="001F4CEA">
              <w:rPr>
                <w:sz w:val="22"/>
                <w:szCs w:val="22"/>
              </w:rPr>
              <w:t>m</w:t>
            </w:r>
            <w:r w:rsidRPr="001F4CEA">
              <w:rPr>
                <w:sz w:val="22"/>
                <w:szCs w:val="22"/>
              </w:rPr>
              <w:t>tidige etablering af biomassekedler, som endnu ikke er etableret, foreslår Dansk Fjernvarme, at der bør tages hensyn til se</w:t>
            </w:r>
            <w:r w:rsidRPr="001F4CEA">
              <w:rPr>
                <w:sz w:val="22"/>
                <w:szCs w:val="22"/>
              </w:rPr>
              <w:t>l</w:t>
            </w:r>
            <w:r w:rsidRPr="001F4CEA">
              <w:rPr>
                <w:sz w:val="22"/>
                <w:szCs w:val="22"/>
              </w:rPr>
              <w:t xml:space="preserve">skabernes budgettering og regnskaber ved at sætte ændringen i kraft tidligst pr. </w:t>
            </w:r>
            <w:proofErr w:type="gramStart"/>
            <w:r w:rsidRPr="001F4CEA">
              <w:rPr>
                <w:sz w:val="22"/>
                <w:szCs w:val="22"/>
              </w:rPr>
              <w:t>1/7-2013</w:t>
            </w:r>
            <w:proofErr w:type="gramEnd"/>
            <w:r w:rsidRPr="001F4CEA">
              <w:rPr>
                <w:sz w:val="22"/>
                <w:szCs w:val="22"/>
              </w:rPr>
              <w:t>, og ideelt først i takt med at staten reelt mister provenu fra omstillingen til biomasse.</w:t>
            </w:r>
          </w:p>
          <w:p w:rsidR="00243D80" w:rsidRPr="001F4CEA" w:rsidRDefault="00243D80" w:rsidP="00243D80">
            <w:pPr>
              <w:rPr>
                <w:sz w:val="22"/>
                <w:szCs w:val="22"/>
              </w:rPr>
            </w:pPr>
            <w:r w:rsidRPr="001F4CEA">
              <w:rPr>
                <w:sz w:val="22"/>
                <w:szCs w:val="22"/>
              </w:rPr>
              <w:t>For de centrale værkers vedkommende, der bærer langt hovedparten af biomasse omsti</w:t>
            </w:r>
            <w:r w:rsidRPr="001F4CEA">
              <w:rPr>
                <w:sz w:val="22"/>
                <w:szCs w:val="22"/>
              </w:rPr>
              <w:t>l</w:t>
            </w:r>
            <w:r w:rsidRPr="001F4CEA">
              <w:rPr>
                <w:sz w:val="22"/>
                <w:szCs w:val="22"/>
              </w:rPr>
              <w:t>lingen, vurderes konverteringerne tidligst at starte i 2015, og den forcerede indfasning er derfor i konflikt med sigtet om provenune</w:t>
            </w:r>
            <w:r w:rsidRPr="001F4CEA">
              <w:rPr>
                <w:sz w:val="22"/>
                <w:szCs w:val="22"/>
              </w:rPr>
              <w:t>u</w:t>
            </w:r>
            <w:r w:rsidRPr="001F4CEA">
              <w:rPr>
                <w:sz w:val="22"/>
                <w:szCs w:val="22"/>
              </w:rPr>
              <w:t>tralitet for staten. Der er efter Dansk Fjer</w:t>
            </w:r>
            <w:r w:rsidRPr="001F4CEA">
              <w:rPr>
                <w:sz w:val="22"/>
                <w:szCs w:val="22"/>
              </w:rPr>
              <w:t>n</w:t>
            </w:r>
            <w:r w:rsidRPr="001F4CEA">
              <w:rPr>
                <w:sz w:val="22"/>
                <w:szCs w:val="22"/>
              </w:rPr>
              <w:t>varmes opfattelse intet sagligt argument, der berettiger til forskelsbehandlingen.</w:t>
            </w:r>
          </w:p>
          <w:p w:rsidR="00243D80" w:rsidRPr="001F4CEA" w:rsidRDefault="00243D80" w:rsidP="00243D80">
            <w:pPr>
              <w:rPr>
                <w:sz w:val="22"/>
                <w:szCs w:val="22"/>
              </w:rPr>
            </w:pPr>
            <w:r w:rsidRPr="001F4CEA">
              <w:rPr>
                <w:sz w:val="22"/>
                <w:szCs w:val="22"/>
              </w:rPr>
              <w:t>En stigning af overskudsvarmeafgiften f</w:t>
            </w:r>
            <w:r w:rsidR="00D6601A">
              <w:rPr>
                <w:sz w:val="22"/>
                <w:szCs w:val="22"/>
              </w:rPr>
              <w:t>ra 32,5 pct. til 38 pct.</w:t>
            </w:r>
            <w:r w:rsidRPr="001F4CEA">
              <w:rPr>
                <w:sz w:val="22"/>
                <w:szCs w:val="22"/>
              </w:rPr>
              <w:t xml:space="preserve"> af vederlaget understøtter ikke forøget anvendelse af overskudsvarme. Tværtimod vil afgiftsstigningen være en yderligere barriere for nyttighørelse af ove</w:t>
            </w:r>
            <w:r w:rsidRPr="001F4CEA">
              <w:rPr>
                <w:sz w:val="22"/>
                <w:szCs w:val="22"/>
              </w:rPr>
              <w:t>r</w:t>
            </w:r>
            <w:r w:rsidRPr="001F4CEA">
              <w:rPr>
                <w:sz w:val="22"/>
                <w:szCs w:val="22"/>
              </w:rPr>
              <w:t>skudsvarme, som indirek</w:t>
            </w:r>
            <w:r w:rsidR="00D21FCD" w:rsidRPr="001F4CEA">
              <w:rPr>
                <w:sz w:val="22"/>
                <w:szCs w:val="22"/>
              </w:rPr>
              <w:t>te forringer vir</w:t>
            </w:r>
            <w:r w:rsidR="00D21FCD" w:rsidRPr="001F4CEA">
              <w:rPr>
                <w:sz w:val="22"/>
                <w:szCs w:val="22"/>
              </w:rPr>
              <w:t>k</w:t>
            </w:r>
            <w:r w:rsidR="00D21FCD" w:rsidRPr="001F4CEA">
              <w:rPr>
                <w:sz w:val="22"/>
                <w:szCs w:val="22"/>
              </w:rPr>
              <w:t>somhedernes mu</w:t>
            </w:r>
            <w:r w:rsidRPr="001F4CEA">
              <w:rPr>
                <w:sz w:val="22"/>
                <w:szCs w:val="22"/>
              </w:rPr>
              <w:t>lighed for at forbedre deres økonomi ved levering af overskudsvarme. Dansk Fjernva</w:t>
            </w:r>
            <w:r w:rsidR="00D6601A">
              <w:rPr>
                <w:sz w:val="22"/>
                <w:szCs w:val="22"/>
              </w:rPr>
              <w:t xml:space="preserve">rme mener, at niveauet på 32,5 pct. </w:t>
            </w:r>
            <w:r w:rsidRPr="001F4CEA">
              <w:rPr>
                <w:sz w:val="22"/>
                <w:szCs w:val="22"/>
              </w:rPr>
              <w:t>er passende, idet den relativ</w:t>
            </w:r>
            <w:r w:rsidR="00D21FCD" w:rsidRPr="001F4CEA">
              <w:rPr>
                <w:sz w:val="22"/>
                <w:szCs w:val="22"/>
              </w:rPr>
              <w:t>e forbedring i forhold til forsy</w:t>
            </w:r>
            <w:r w:rsidRPr="001F4CEA">
              <w:rPr>
                <w:sz w:val="22"/>
                <w:szCs w:val="22"/>
              </w:rPr>
              <w:t>ningssikkerhedsafgiften er det der skal til for at få udnyttet mere ove</w:t>
            </w:r>
            <w:r w:rsidRPr="001F4CEA">
              <w:rPr>
                <w:sz w:val="22"/>
                <w:szCs w:val="22"/>
              </w:rPr>
              <w:t>r</w:t>
            </w:r>
            <w:r w:rsidRPr="001F4CEA">
              <w:rPr>
                <w:sz w:val="22"/>
                <w:szCs w:val="22"/>
              </w:rPr>
              <w:t>skudsvarme. Forslaget nulstiller den positive effekt af det nylige forslag om reduktion af elafgiften til blandt andet varmepumper, og hvis stigningen af overskudsvarmeafgiften fastholdes, er det samtidig</w:t>
            </w:r>
            <w:r w:rsidR="00D21FCD" w:rsidRPr="001F4CEA">
              <w:rPr>
                <w:sz w:val="22"/>
                <w:szCs w:val="22"/>
              </w:rPr>
              <w:t xml:space="preserve"> ac</w:t>
            </w:r>
            <w:r w:rsidRPr="001F4CEA">
              <w:rPr>
                <w:sz w:val="22"/>
                <w:szCs w:val="22"/>
              </w:rPr>
              <w:t>cepteret, at e</w:t>
            </w:r>
            <w:r w:rsidRPr="001F4CEA">
              <w:rPr>
                <w:sz w:val="22"/>
                <w:szCs w:val="22"/>
              </w:rPr>
              <w:t>l</w:t>
            </w:r>
            <w:r w:rsidRPr="001F4CEA">
              <w:rPr>
                <w:sz w:val="22"/>
                <w:szCs w:val="22"/>
              </w:rPr>
              <w:t>drevne varmepumper ikke vil få den ønskede udbredelse trods hensigterne herom.</w:t>
            </w:r>
          </w:p>
          <w:p w:rsidR="00243D80" w:rsidRPr="001F4CEA" w:rsidRDefault="00243D80" w:rsidP="00D022E2">
            <w:pPr>
              <w:rPr>
                <w:sz w:val="22"/>
                <w:szCs w:val="22"/>
              </w:rPr>
            </w:pPr>
            <w:r w:rsidRPr="001F4CEA">
              <w:rPr>
                <w:sz w:val="22"/>
                <w:szCs w:val="22"/>
              </w:rPr>
              <w:t xml:space="preserve">Det har tidligere været praksis, at tilskud til </w:t>
            </w:r>
            <w:proofErr w:type="spellStart"/>
            <w:r w:rsidRPr="001F4CEA">
              <w:rPr>
                <w:sz w:val="22"/>
                <w:szCs w:val="22"/>
              </w:rPr>
              <w:t>elfremstilling</w:t>
            </w:r>
            <w:proofErr w:type="spellEnd"/>
            <w:r w:rsidRPr="001F4CEA">
              <w:rPr>
                <w:sz w:val="22"/>
                <w:szCs w:val="22"/>
              </w:rPr>
              <w:t xml:space="preserve"> finansieres af </w:t>
            </w:r>
            <w:proofErr w:type="spellStart"/>
            <w:r w:rsidRPr="001F4CEA">
              <w:rPr>
                <w:sz w:val="22"/>
                <w:szCs w:val="22"/>
              </w:rPr>
              <w:t>elforbrugerne</w:t>
            </w:r>
            <w:proofErr w:type="spellEnd"/>
            <w:r w:rsidRPr="001F4CEA">
              <w:rPr>
                <w:sz w:val="22"/>
                <w:szCs w:val="22"/>
              </w:rPr>
              <w:t xml:space="preserve"> og at tilskud til konvertering til biomasse på varmeområdet finansieres af varmeforbr</w:t>
            </w:r>
            <w:r w:rsidRPr="001F4CEA">
              <w:rPr>
                <w:sz w:val="22"/>
                <w:szCs w:val="22"/>
              </w:rPr>
              <w:t>u</w:t>
            </w:r>
            <w:r w:rsidRPr="001F4CEA">
              <w:rPr>
                <w:sz w:val="22"/>
                <w:szCs w:val="22"/>
              </w:rPr>
              <w:t>gerne. At varmeforbrugerne via forsyning</w:t>
            </w:r>
            <w:r w:rsidRPr="001F4CEA">
              <w:rPr>
                <w:sz w:val="22"/>
                <w:szCs w:val="22"/>
              </w:rPr>
              <w:t>s</w:t>
            </w:r>
            <w:r w:rsidRPr="001F4CEA">
              <w:rPr>
                <w:sz w:val="22"/>
                <w:szCs w:val="22"/>
              </w:rPr>
              <w:t>afgiften skal finansiere udbredelsen af solce</w:t>
            </w:r>
            <w:r w:rsidRPr="001F4CEA">
              <w:rPr>
                <w:sz w:val="22"/>
                <w:szCs w:val="22"/>
              </w:rPr>
              <w:t>l</w:t>
            </w:r>
            <w:r w:rsidRPr="001F4CEA">
              <w:rPr>
                <w:sz w:val="22"/>
                <w:szCs w:val="22"/>
              </w:rPr>
              <w:t>ler er dermed et brud på denne praksis og medfører en krydssubsidiering mellem el og varme. Dansk Fjernvarme mener</w:t>
            </w:r>
            <w:r w:rsidR="00267DFB">
              <w:rPr>
                <w:sz w:val="22"/>
                <w:szCs w:val="22"/>
              </w:rPr>
              <w:t>, at</w:t>
            </w:r>
            <w:r w:rsidRPr="001F4CEA">
              <w:rPr>
                <w:sz w:val="22"/>
                <w:szCs w:val="22"/>
              </w:rPr>
              <w:t xml:space="preserve"> dette er en fejlagtig kurs</w:t>
            </w:r>
            <w:r w:rsidR="00D022E2">
              <w:rPr>
                <w:sz w:val="22"/>
                <w:szCs w:val="22"/>
              </w:rPr>
              <w:t xml:space="preserve">. </w:t>
            </w:r>
          </w:p>
        </w:tc>
        <w:tc>
          <w:tcPr>
            <w:tcW w:w="2991" w:type="dxa"/>
          </w:tcPr>
          <w:p w:rsidR="00243D80" w:rsidRDefault="00243D80">
            <w:pPr>
              <w:rPr>
                <w:sz w:val="22"/>
                <w:szCs w:val="22"/>
              </w:rPr>
            </w:pPr>
          </w:p>
          <w:p w:rsidR="006025D4" w:rsidRDefault="006025D4">
            <w:pPr>
              <w:rPr>
                <w:sz w:val="22"/>
                <w:szCs w:val="22"/>
              </w:rPr>
            </w:pPr>
          </w:p>
          <w:p w:rsidR="006025D4" w:rsidRDefault="006025D4">
            <w:pPr>
              <w:rPr>
                <w:sz w:val="22"/>
                <w:szCs w:val="22"/>
              </w:rPr>
            </w:pPr>
          </w:p>
          <w:p w:rsidR="006025D4" w:rsidRDefault="006025D4">
            <w:pPr>
              <w:rPr>
                <w:sz w:val="22"/>
                <w:szCs w:val="22"/>
              </w:rPr>
            </w:pPr>
          </w:p>
          <w:p w:rsidR="006025D4" w:rsidRDefault="006025D4">
            <w:pPr>
              <w:rPr>
                <w:sz w:val="22"/>
                <w:szCs w:val="22"/>
              </w:rPr>
            </w:pPr>
          </w:p>
          <w:p w:rsidR="001460CC" w:rsidRPr="001460CC" w:rsidRDefault="001460CC" w:rsidP="001460CC">
            <w:pPr>
              <w:rPr>
                <w:sz w:val="22"/>
                <w:szCs w:val="22"/>
              </w:rPr>
            </w:pPr>
            <w:r w:rsidRPr="001460CC">
              <w:rPr>
                <w:sz w:val="22"/>
                <w:szCs w:val="22"/>
              </w:rPr>
              <w:t>Forsyningssikkerhedsafgifte</w:t>
            </w:r>
            <w:r>
              <w:rPr>
                <w:sz w:val="22"/>
                <w:szCs w:val="22"/>
              </w:rPr>
              <w:t>n vil isoleret set forværre ko</w:t>
            </w:r>
            <w:r>
              <w:rPr>
                <w:sz w:val="22"/>
                <w:szCs w:val="22"/>
              </w:rPr>
              <w:t>n</w:t>
            </w:r>
            <w:r w:rsidRPr="001460CC">
              <w:rPr>
                <w:sz w:val="22"/>
                <w:szCs w:val="22"/>
              </w:rPr>
              <w:t>kurrenceevnen for brændsler i forhold til el.</w:t>
            </w:r>
          </w:p>
          <w:p w:rsidR="001460CC" w:rsidRPr="001460CC" w:rsidRDefault="001460CC" w:rsidP="001460CC">
            <w:pPr>
              <w:rPr>
                <w:sz w:val="22"/>
                <w:szCs w:val="22"/>
              </w:rPr>
            </w:pPr>
            <w:r w:rsidRPr="001460CC">
              <w:rPr>
                <w:sz w:val="22"/>
                <w:szCs w:val="22"/>
              </w:rPr>
              <w:t>I anden fase af forsyningssi</w:t>
            </w:r>
            <w:r w:rsidRPr="001460CC">
              <w:rPr>
                <w:sz w:val="22"/>
                <w:szCs w:val="22"/>
              </w:rPr>
              <w:t>k</w:t>
            </w:r>
            <w:r w:rsidRPr="001460CC">
              <w:rPr>
                <w:sz w:val="22"/>
                <w:szCs w:val="22"/>
              </w:rPr>
              <w:t>kerhedsafgiften vil der blive taget stilling til, i hvilket o</w:t>
            </w:r>
            <w:r w:rsidRPr="001460CC">
              <w:rPr>
                <w:sz w:val="22"/>
                <w:szCs w:val="22"/>
              </w:rPr>
              <w:t>m</w:t>
            </w:r>
            <w:r w:rsidRPr="001460CC">
              <w:rPr>
                <w:sz w:val="22"/>
                <w:szCs w:val="22"/>
              </w:rPr>
              <w:t>fang der skal ske en stigning i elvarmeafgiften.</w:t>
            </w:r>
          </w:p>
          <w:p w:rsidR="006025D4" w:rsidRDefault="001460CC" w:rsidP="001460CC">
            <w:pPr>
              <w:rPr>
                <w:sz w:val="22"/>
                <w:szCs w:val="22"/>
              </w:rPr>
            </w:pPr>
            <w:r w:rsidRPr="001460CC">
              <w:rPr>
                <w:sz w:val="22"/>
                <w:szCs w:val="22"/>
              </w:rPr>
              <w:t>I anden fase af forsyningssi</w:t>
            </w:r>
            <w:r w:rsidRPr="001460CC">
              <w:rPr>
                <w:sz w:val="22"/>
                <w:szCs w:val="22"/>
              </w:rPr>
              <w:t>k</w:t>
            </w:r>
            <w:r w:rsidRPr="001460CC">
              <w:rPr>
                <w:sz w:val="22"/>
                <w:szCs w:val="22"/>
              </w:rPr>
              <w:t>kerhedsafgiften vil der ligel</w:t>
            </w:r>
            <w:r w:rsidRPr="001460CC">
              <w:rPr>
                <w:sz w:val="22"/>
                <w:szCs w:val="22"/>
              </w:rPr>
              <w:t>e</w:t>
            </w:r>
            <w:r w:rsidRPr="001460CC">
              <w:rPr>
                <w:sz w:val="22"/>
                <w:szCs w:val="22"/>
              </w:rPr>
              <w:t>des blive påført en afgift på biomasse. Denne stiger mere en</w:t>
            </w:r>
            <w:r w:rsidR="00267DFB">
              <w:rPr>
                <w:sz w:val="22"/>
                <w:szCs w:val="22"/>
              </w:rPr>
              <w:t>d</w:t>
            </w:r>
            <w:r w:rsidRPr="001460CC">
              <w:rPr>
                <w:sz w:val="22"/>
                <w:szCs w:val="22"/>
              </w:rPr>
              <w:t xml:space="preserve"> de fossile brændsler, hvi</w:t>
            </w:r>
            <w:r w:rsidRPr="001460CC">
              <w:rPr>
                <w:sz w:val="22"/>
                <w:szCs w:val="22"/>
              </w:rPr>
              <w:t>l</w:t>
            </w:r>
            <w:r w:rsidRPr="001460CC">
              <w:rPr>
                <w:sz w:val="22"/>
                <w:szCs w:val="22"/>
              </w:rPr>
              <w:t>ket vil forbedre konkurrenc</w:t>
            </w:r>
            <w:r w:rsidRPr="001460CC">
              <w:rPr>
                <w:sz w:val="22"/>
                <w:szCs w:val="22"/>
              </w:rPr>
              <w:t>e</w:t>
            </w:r>
            <w:r w:rsidRPr="001460CC">
              <w:rPr>
                <w:sz w:val="22"/>
                <w:szCs w:val="22"/>
              </w:rPr>
              <w:t>evnen for fossile brændsler i forhold til biomasse.</w:t>
            </w:r>
          </w:p>
          <w:p w:rsidR="006025D4" w:rsidRDefault="006025D4">
            <w:pPr>
              <w:rPr>
                <w:sz w:val="22"/>
                <w:szCs w:val="22"/>
              </w:rPr>
            </w:pPr>
          </w:p>
          <w:p w:rsidR="006025D4" w:rsidRDefault="006025D4">
            <w:pPr>
              <w:rPr>
                <w:sz w:val="22"/>
                <w:szCs w:val="22"/>
              </w:rPr>
            </w:pPr>
          </w:p>
          <w:p w:rsidR="006025D4" w:rsidRDefault="006025D4">
            <w:pPr>
              <w:rPr>
                <w:sz w:val="22"/>
                <w:szCs w:val="22"/>
              </w:rPr>
            </w:pPr>
          </w:p>
          <w:p w:rsidR="006025D4" w:rsidRDefault="006025D4">
            <w:pPr>
              <w:rPr>
                <w:sz w:val="22"/>
                <w:szCs w:val="22"/>
              </w:rPr>
            </w:pPr>
          </w:p>
          <w:p w:rsidR="006025D4" w:rsidRDefault="006025D4">
            <w:pPr>
              <w:rPr>
                <w:sz w:val="22"/>
                <w:szCs w:val="22"/>
              </w:rPr>
            </w:pPr>
          </w:p>
          <w:p w:rsidR="006025D4" w:rsidRDefault="006025D4">
            <w:pPr>
              <w:rPr>
                <w:sz w:val="22"/>
                <w:szCs w:val="22"/>
              </w:rPr>
            </w:pPr>
          </w:p>
          <w:p w:rsidR="006025D4" w:rsidRDefault="006025D4">
            <w:pPr>
              <w:rPr>
                <w:sz w:val="22"/>
                <w:szCs w:val="22"/>
              </w:rPr>
            </w:pPr>
          </w:p>
          <w:p w:rsidR="006025D4" w:rsidRDefault="006025D4">
            <w:pPr>
              <w:rPr>
                <w:sz w:val="22"/>
                <w:szCs w:val="22"/>
              </w:rPr>
            </w:pPr>
          </w:p>
          <w:p w:rsidR="006025D4" w:rsidRDefault="006025D4">
            <w:pPr>
              <w:rPr>
                <w:sz w:val="22"/>
                <w:szCs w:val="22"/>
              </w:rPr>
            </w:pPr>
          </w:p>
          <w:p w:rsidR="006025D4" w:rsidRDefault="006025D4">
            <w:pPr>
              <w:rPr>
                <w:sz w:val="22"/>
                <w:szCs w:val="22"/>
              </w:rPr>
            </w:pPr>
          </w:p>
          <w:p w:rsidR="006025D4" w:rsidRDefault="006025D4">
            <w:pPr>
              <w:rPr>
                <w:sz w:val="22"/>
                <w:szCs w:val="22"/>
              </w:rPr>
            </w:pPr>
          </w:p>
          <w:p w:rsidR="006025D4" w:rsidRDefault="006025D4">
            <w:pPr>
              <w:rPr>
                <w:sz w:val="22"/>
                <w:szCs w:val="22"/>
              </w:rPr>
            </w:pPr>
          </w:p>
          <w:p w:rsidR="006025D4" w:rsidRDefault="006025D4">
            <w:pPr>
              <w:rPr>
                <w:sz w:val="22"/>
                <w:szCs w:val="22"/>
              </w:rPr>
            </w:pPr>
          </w:p>
          <w:p w:rsidR="006025D4" w:rsidRDefault="006025D4">
            <w:pPr>
              <w:rPr>
                <w:sz w:val="22"/>
                <w:szCs w:val="22"/>
              </w:rPr>
            </w:pPr>
          </w:p>
          <w:p w:rsidR="006025D4" w:rsidRDefault="006025D4">
            <w:pPr>
              <w:rPr>
                <w:sz w:val="22"/>
                <w:szCs w:val="22"/>
              </w:rPr>
            </w:pPr>
          </w:p>
          <w:p w:rsidR="006025D4" w:rsidRDefault="006025D4">
            <w:pPr>
              <w:rPr>
                <w:sz w:val="22"/>
                <w:szCs w:val="22"/>
              </w:rPr>
            </w:pPr>
          </w:p>
          <w:p w:rsidR="006025D4" w:rsidRDefault="006025D4">
            <w:pPr>
              <w:rPr>
                <w:sz w:val="22"/>
                <w:szCs w:val="22"/>
              </w:rPr>
            </w:pPr>
          </w:p>
          <w:p w:rsidR="006025D4" w:rsidRDefault="006025D4">
            <w:pPr>
              <w:rPr>
                <w:sz w:val="22"/>
                <w:szCs w:val="22"/>
              </w:rPr>
            </w:pPr>
          </w:p>
          <w:p w:rsidR="006025D4" w:rsidRDefault="006025D4">
            <w:pPr>
              <w:rPr>
                <w:sz w:val="22"/>
                <w:szCs w:val="22"/>
              </w:rPr>
            </w:pPr>
          </w:p>
          <w:p w:rsidR="006025D4" w:rsidRDefault="006025D4">
            <w:pPr>
              <w:rPr>
                <w:sz w:val="22"/>
                <w:szCs w:val="22"/>
              </w:rPr>
            </w:pPr>
          </w:p>
          <w:p w:rsidR="006025D4" w:rsidRDefault="006025D4">
            <w:pPr>
              <w:rPr>
                <w:sz w:val="22"/>
                <w:szCs w:val="22"/>
              </w:rPr>
            </w:pPr>
          </w:p>
          <w:p w:rsidR="006025D4" w:rsidRDefault="006025D4">
            <w:pPr>
              <w:rPr>
                <w:sz w:val="22"/>
                <w:szCs w:val="22"/>
              </w:rPr>
            </w:pPr>
          </w:p>
          <w:p w:rsidR="006025D4" w:rsidRDefault="006025D4">
            <w:pPr>
              <w:rPr>
                <w:sz w:val="22"/>
                <w:szCs w:val="22"/>
              </w:rPr>
            </w:pPr>
          </w:p>
          <w:p w:rsidR="006025D4" w:rsidRDefault="006025D4">
            <w:pPr>
              <w:rPr>
                <w:sz w:val="22"/>
                <w:szCs w:val="22"/>
              </w:rPr>
            </w:pPr>
          </w:p>
          <w:p w:rsidR="006025D4" w:rsidRDefault="006025D4">
            <w:pPr>
              <w:rPr>
                <w:sz w:val="22"/>
                <w:szCs w:val="22"/>
              </w:rPr>
            </w:pPr>
          </w:p>
          <w:p w:rsidR="001460CC" w:rsidRPr="001460CC" w:rsidRDefault="001460CC" w:rsidP="001460CC">
            <w:pPr>
              <w:rPr>
                <w:sz w:val="22"/>
                <w:szCs w:val="22"/>
              </w:rPr>
            </w:pPr>
            <w:r>
              <w:rPr>
                <w:sz w:val="22"/>
                <w:szCs w:val="22"/>
              </w:rPr>
              <w:t>Der er den samme afgiftssti</w:t>
            </w:r>
            <w:r>
              <w:rPr>
                <w:sz w:val="22"/>
                <w:szCs w:val="22"/>
              </w:rPr>
              <w:t>g</w:t>
            </w:r>
            <w:r w:rsidRPr="001460CC">
              <w:rPr>
                <w:sz w:val="22"/>
                <w:szCs w:val="22"/>
              </w:rPr>
              <w:t xml:space="preserve">ning i kr. pr. GJ </w:t>
            </w:r>
            <w:r w:rsidR="004C6091">
              <w:rPr>
                <w:sz w:val="22"/>
                <w:szCs w:val="22"/>
              </w:rPr>
              <w:t>for store og små værker. Det an</w:t>
            </w:r>
            <w:r w:rsidRPr="001460CC">
              <w:rPr>
                <w:sz w:val="22"/>
                <w:szCs w:val="22"/>
              </w:rPr>
              <w:t>erkendes dog, at små værker ofte har et større ledningstab end store værker. Dette vil medføre fo</w:t>
            </w:r>
            <w:r w:rsidRPr="001460CC">
              <w:rPr>
                <w:sz w:val="22"/>
                <w:szCs w:val="22"/>
              </w:rPr>
              <w:t>r</w:t>
            </w:r>
            <w:r w:rsidRPr="001460CC">
              <w:rPr>
                <w:sz w:val="22"/>
                <w:szCs w:val="22"/>
              </w:rPr>
              <w:t xml:space="preserve">skelle </w:t>
            </w:r>
            <w:r w:rsidR="00267DFB">
              <w:rPr>
                <w:sz w:val="22"/>
                <w:szCs w:val="22"/>
              </w:rPr>
              <w:t xml:space="preserve">i </w:t>
            </w:r>
            <w:r w:rsidRPr="001460CC">
              <w:rPr>
                <w:sz w:val="22"/>
                <w:szCs w:val="22"/>
              </w:rPr>
              <w:t>stigningen i varmere</w:t>
            </w:r>
            <w:r w:rsidRPr="001460CC">
              <w:rPr>
                <w:sz w:val="22"/>
                <w:szCs w:val="22"/>
              </w:rPr>
              <w:t>g</w:t>
            </w:r>
            <w:r w:rsidRPr="001460CC">
              <w:rPr>
                <w:sz w:val="22"/>
                <w:szCs w:val="22"/>
              </w:rPr>
              <w:t>ningen pr. GJ ab hus.</w:t>
            </w:r>
          </w:p>
          <w:p w:rsidR="001460CC" w:rsidRPr="001460CC" w:rsidRDefault="001460CC" w:rsidP="001460CC">
            <w:pPr>
              <w:rPr>
                <w:sz w:val="22"/>
                <w:szCs w:val="22"/>
              </w:rPr>
            </w:pPr>
          </w:p>
          <w:p w:rsidR="00CD6AC2" w:rsidRDefault="00CD6AC2" w:rsidP="001460CC">
            <w:pPr>
              <w:rPr>
                <w:sz w:val="22"/>
                <w:szCs w:val="22"/>
                <w:highlight w:val="yellow"/>
              </w:rPr>
            </w:pPr>
            <w:r w:rsidRPr="00CD6AC2">
              <w:rPr>
                <w:sz w:val="22"/>
                <w:szCs w:val="22"/>
              </w:rPr>
              <w:t xml:space="preserve">Finansieringen af </w:t>
            </w:r>
            <w:r w:rsidRPr="00267DFB">
              <w:rPr>
                <w:i/>
                <w:sz w:val="22"/>
                <w:szCs w:val="22"/>
              </w:rPr>
              <w:t>Solcelleaft</w:t>
            </w:r>
            <w:r w:rsidRPr="00267DFB">
              <w:rPr>
                <w:i/>
                <w:sz w:val="22"/>
                <w:szCs w:val="22"/>
              </w:rPr>
              <w:t>a</w:t>
            </w:r>
            <w:r w:rsidRPr="00267DFB">
              <w:rPr>
                <w:i/>
                <w:sz w:val="22"/>
                <w:szCs w:val="22"/>
              </w:rPr>
              <w:t>len</w:t>
            </w:r>
            <w:r w:rsidRPr="00CD6AC2">
              <w:rPr>
                <w:sz w:val="22"/>
                <w:szCs w:val="22"/>
              </w:rPr>
              <w:t xml:space="preserve"> dækker perioden fra 2013-2020, og derfor har det været nødvendigt at fremrykke fre</w:t>
            </w:r>
            <w:r w:rsidRPr="00CD6AC2">
              <w:rPr>
                <w:sz w:val="22"/>
                <w:szCs w:val="22"/>
              </w:rPr>
              <w:t>m</w:t>
            </w:r>
            <w:r w:rsidRPr="00CD6AC2">
              <w:rPr>
                <w:sz w:val="22"/>
                <w:szCs w:val="22"/>
              </w:rPr>
              <w:t>sættelsen af dette lovforslag, da det dækker finansieringsb</w:t>
            </w:r>
            <w:r w:rsidRPr="00CD6AC2">
              <w:rPr>
                <w:sz w:val="22"/>
                <w:szCs w:val="22"/>
              </w:rPr>
              <w:t>e</w:t>
            </w:r>
            <w:r w:rsidRPr="00CD6AC2">
              <w:rPr>
                <w:sz w:val="22"/>
                <w:szCs w:val="22"/>
              </w:rPr>
              <w:t>hovet for 2013.</w:t>
            </w:r>
          </w:p>
          <w:p w:rsidR="006025D4" w:rsidRDefault="006025D4">
            <w:pPr>
              <w:rPr>
                <w:sz w:val="22"/>
                <w:szCs w:val="22"/>
              </w:rPr>
            </w:pPr>
          </w:p>
          <w:p w:rsidR="006025D4" w:rsidRDefault="006025D4">
            <w:pPr>
              <w:rPr>
                <w:sz w:val="22"/>
                <w:szCs w:val="22"/>
              </w:rPr>
            </w:pPr>
          </w:p>
          <w:p w:rsidR="006025D4" w:rsidRDefault="006025D4">
            <w:pPr>
              <w:rPr>
                <w:sz w:val="22"/>
                <w:szCs w:val="22"/>
              </w:rPr>
            </w:pPr>
          </w:p>
          <w:p w:rsidR="006025D4" w:rsidRDefault="006025D4">
            <w:pPr>
              <w:rPr>
                <w:sz w:val="22"/>
                <w:szCs w:val="22"/>
              </w:rPr>
            </w:pPr>
          </w:p>
          <w:p w:rsidR="00094E64" w:rsidRDefault="00094E64">
            <w:pPr>
              <w:rPr>
                <w:sz w:val="22"/>
                <w:szCs w:val="22"/>
              </w:rPr>
            </w:pPr>
          </w:p>
          <w:p w:rsidR="00094E64" w:rsidRDefault="00094E64">
            <w:pPr>
              <w:rPr>
                <w:sz w:val="22"/>
                <w:szCs w:val="22"/>
              </w:rPr>
            </w:pPr>
          </w:p>
          <w:p w:rsidR="00094E64" w:rsidRDefault="00094E64">
            <w:pPr>
              <w:rPr>
                <w:sz w:val="22"/>
                <w:szCs w:val="22"/>
              </w:rPr>
            </w:pPr>
          </w:p>
          <w:p w:rsidR="00094E64" w:rsidRDefault="00094E64">
            <w:pPr>
              <w:rPr>
                <w:sz w:val="22"/>
                <w:szCs w:val="22"/>
              </w:rPr>
            </w:pPr>
          </w:p>
          <w:p w:rsidR="00094E64" w:rsidRDefault="00094E64">
            <w:pPr>
              <w:rPr>
                <w:sz w:val="22"/>
                <w:szCs w:val="22"/>
              </w:rPr>
            </w:pPr>
          </w:p>
          <w:p w:rsidR="00094E64" w:rsidRDefault="00094E64">
            <w:pPr>
              <w:rPr>
                <w:sz w:val="22"/>
                <w:szCs w:val="22"/>
              </w:rPr>
            </w:pPr>
          </w:p>
          <w:p w:rsidR="00094E64" w:rsidRDefault="00094E64">
            <w:pPr>
              <w:rPr>
                <w:sz w:val="22"/>
                <w:szCs w:val="22"/>
              </w:rPr>
            </w:pPr>
          </w:p>
          <w:p w:rsidR="00094E64" w:rsidRDefault="00094E64">
            <w:pPr>
              <w:rPr>
                <w:sz w:val="22"/>
                <w:szCs w:val="22"/>
              </w:rPr>
            </w:pPr>
          </w:p>
          <w:p w:rsidR="00094E64" w:rsidRDefault="00094E64">
            <w:pPr>
              <w:rPr>
                <w:sz w:val="22"/>
                <w:szCs w:val="22"/>
              </w:rPr>
            </w:pPr>
          </w:p>
          <w:p w:rsidR="00094E64" w:rsidRDefault="001460CC">
            <w:pPr>
              <w:rPr>
                <w:sz w:val="22"/>
                <w:szCs w:val="22"/>
              </w:rPr>
            </w:pPr>
            <w:r w:rsidRPr="001460CC">
              <w:rPr>
                <w:sz w:val="22"/>
                <w:szCs w:val="22"/>
              </w:rPr>
              <w:t>Udover stigning i overskuds-varmeafgiften øges afgiftsfo</w:t>
            </w:r>
            <w:r w:rsidRPr="001460CC">
              <w:rPr>
                <w:sz w:val="22"/>
                <w:szCs w:val="22"/>
              </w:rPr>
              <w:t>r</w:t>
            </w:r>
            <w:r w:rsidRPr="001460CC">
              <w:rPr>
                <w:sz w:val="22"/>
                <w:szCs w:val="22"/>
              </w:rPr>
              <w:t>skellen mellem brændsel til proces og rumvarme. Det me</w:t>
            </w:r>
            <w:r w:rsidRPr="001460CC">
              <w:rPr>
                <w:sz w:val="22"/>
                <w:szCs w:val="22"/>
              </w:rPr>
              <w:t>d</w:t>
            </w:r>
            <w:r w:rsidRPr="001460CC">
              <w:rPr>
                <w:sz w:val="22"/>
                <w:szCs w:val="22"/>
              </w:rPr>
              <w:t>fører, at den konkurrerende varme til overskudsvarme i praksis stiger med mindst det samme som overskudsvarme-afgiften. Derfor</w:t>
            </w:r>
            <w:r w:rsidR="00267DFB">
              <w:rPr>
                <w:sz w:val="22"/>
                <w:szCs w:val="22"/>
              </w:rPr>
              <w:t xml:space="preserve"> er der </w:t>
            </w:r>
            <w:r w:rsidRPr="001460CC">
              <w:rPr>
                <w:sz w:val="22"/>
                <w:szCs w:val="22"/>
              </w:rPr>
              <w:t xml:space="preserve">netto </w:t>
            </w:r>
            <w:r>
              <w:rPr>
                <w:sz w:val="22"/>
                <w:szCs w:val="22"/>
              </w:rPr>
              <w:t xml:space="preserve">ikke mindre incitament til </w:t>
            </w:r>
            <w:r w:rsidR="00267DFB">
              <w:rPr>
                <w:sz w:val="22"/>
                <w:szCs w:val="22"/>
              </w:rPr>
              <w:t xml:space="preserve">at udnytte </w:t>
            </w:r>
            <w:r>
              <w:rPr>
                <w:sz w:val="22"/>
                <w:szCs w:val="22"/>
              </w:rPr>
              <w:t>over</w:t>
            </w:r>
            <w:r w:rsidRPr="001460CC">
              <w:rPr>
                <w:sz w:val="22"/>
                <w:szCs w:val="22"/>
              </w:rPr>
              <w:t>skudsvarme.</w:t>
            </w:r>
          </w:p>
          <w:p w:rsidR="00094E64" w:rsidRPr="001F4CEA" w:rsidRDefault="00094E64">
            <w:pPr>
              <w:rPr>
                <w:sz w:val="22"/>
                <w:szCs w:val="22"/>
              </w:rPr>
            </w:pPr>
            <w:r>
              <w:rPr>
                <w:sz w:val="22"/>
                <w:szCs w:val="22"/>
              </w:rPr>
              <w:t xml:space="preserve">Der henvises </w:t>
            </w:r>
            <w:r w:rsidR="00D022E2">
              <w:rPr>
                <w:sz w:val="22"/>
                <w:szCs w:val="22"/>
              </w:rPr>
              <w:t xml:space="preserve">i øvrigt </w:t>
            </w:r>
            <w:r>
              <w:rPr>
                <w:sz w:val="22"/>
                <w:szCs w:val="22"/>
              </w:rPr>
              <w:t>til ko</w:t>
            </w:r>
            <w:r>
              <w:rPr>
                <w:sz w:val="22"/>
                <w:szCs w:val="22"/>
              </w:rPr>
              <w:t>m</w:t>
            </w:r>
            <w:r>
              <w:rPr>
                <w:sz w:val="22"/>
                <w:szCs w:val="22"/>
              </w:rPr>
              <w:t>mentaren til DI.</w:t>
            </w:r>
          </w:p>
        </w:tc>
      </w:tr>
      <w:tr w:rsidR="00C575E4" w:rsidRPr="001F4CEA" w:rsidTr="00A56C38">
        <w:tc>
          <w:tcPr>
            <w:tcW w:w="1809" w:type="dxa"/>
          </w:tcPr>
          <w:p w:rsidR="00C575E4" w:rsidRPr="001F4CEA" w:rsidRDefault="00C575E4">
            <w:pPr>
              <w:rPr>
                <w:sz w:val="22"/>
                <w:szCs w:val="22"/>
              </w:rPr>
            </w:pPr>
            <w:r w:rsidRPr="001F4CEA">
              <w:rPr>
                <w:sz w:val="22"/>
                <w:szCs w:val="22"/>
              </w:rPr>
              <w:t xml:space="preserve">Dong Energy </w:t>
            </w:r>
          </w:p>
        </w:tc>
        <w:tc>
          <w:tcPr>
            <w:tcW w:w="4245" w:type="dxa"/>
          </w:tcPr>
          <w:p w:rsidR="00E6551F" w:rsidRPr="001F4CEA" w:rsidRDefault="00E6551F" w:rsidP="00FF6AA8">
            <w:pPr>
              <w:rPr>
                <w:sz w:val="22"/>
                <w:szCs w:val="22"/>
              </w:rPr>
            </w:pPr>
            <w:r w:rsidRPr="001F4CEA">
              <w:rPr>
                <w:sz w:val="22"/>
                <w:szCs w:val="22"/>
              </w:rPr>
              <w:t>Prisen på varme reguleres af prislofter u</w:t>
            </w:r>
            <w:r w:rsidRPr="001F4CEA">
              <w:rPr>
                <w:sz w:val="22"/>
                <w:szCs w:val="22"/>
              </w:rPr>
              <w:t>d</w:t>
            </w:r>
            <w:r w:rsidRPr="001F4CEA">
              <w:rPr>
                <w:sz w:val="22"/>
                <w:szCs w:val="22"/>
              </w:rPr>
              <w:t>meldt af Energitilsynet. Det fremgår ikke af lovforslaget, hvorvidt der på baggrund af a</w:t>
            </w:r>
            <w:r w:rsidRPr="001F4CEA">
              <w:rPr>
                <w:sz w:val="22"/>
                <w:szCs w:val="22"/>
              </w:rPr>
              <w:t>f</w:t>
            </w:r>
            <w:r w:rsidRPr="001F4CEA">
              <w:rPr>
                <w:sz w:val="22"/>
                <w:szCs w:val="22"/>
              </w:rPr>
              <w:t>giftsstigningen vil ske en konsekvensrettelse af prislofterne for rumvarme produceret fra affald. Det er afgørende, at denne kons</w:t>
            </w:r>
            <w:r w:rsidRPr="001F4CEA">
              <w:rPr>
                <w:sz w:val="22"/>
                <w:szCs w:val="22"/>
              </w:rPr>
              <w:t>e</w:t>
            </w:r>
            <w:r w:rsidRPr="001F4CEA">
              <w:rPr>
                <w:sz w:val="22"/>
                <w:szCs w:val="22"/>
              </w:rPr>
              <w:t>kvensrettelse sker, idet afgiftsstigningen e</w:t>
            </w:r>
            <w:r w:rsidRPr="001F4CEA">
              <w:rPr>
                <w:sz w:val="22"/>
                <w:szCs w:val="22"/>
              </w:rPr>
              <w:t>l</w:t>
            </w:r>
            <w:r w:rsidRPr="001F4CEA">
              <w:rPr>
                <w:sz w:val="22"/>
                <w:szCs w:val="22"/>
              </w:rPr>
              <w:t>lers vil forringe økonomien i at producere varme fra affald betydeligt, da afgiften i så fald ikke kan overvæltes på varmeforbrug</w:t>
            </w:r>
            <w:r w:rsidRPr="001F4CEA">
              <w:rPr>
                <w:sz w:val="22"/>
                <w:szCs w:val="22"/>
              </w:rPr>
              <w:t>e</w:t>
            </w:r>
            <w:r w:rsidRPr="001F4CEA">
              <w:rPr>
                <w:sz w:val="22"/>
                <w:szCs w:val="22"/>
              </w:rPr>
              <w:t xml:space="preserve">ren. </w:t>
            </w:r>
          </w:p>
          <w:p w:rsidR="00E6551F" w:rsidRPr="001F4CEA" w:rsidRDefault="00E6551F" w:rsidP="00FF6AA8">
            <w:pPr>
              <w:rPr>
                <w:sz w:val="22"/>
                <w:szCs w:val="22"/>
              </w:rPr>
            </w:pPr>
            <w:r w:rsidRPr="001F4CEA">
              <w:rPr>
                <w:sz w:val="22"/>
                <w:szCs w:val="22"/>
              </w:rPr>
              <w:t>Endvidere fremgår det af bemærkningerne til L 108</w:t>
            </w:r>
            <w:r w:rsidR="009F2B03" w:rsidRPr="001F4CEA">
              <w:rPr>
                <w:sz w:val="22"/>
                <w:szCs w:val="22"/>
              </w:rPr>
              <w:t>, at afgiftssatserne på de fossile brændsler forslås forhøjet med ca. 17 pct. Dong Energy beregninger viser, at energia</w:t>
            </w:r>
            <w:r w:rsidR="009F2B03" w:rsidRPr="001F4CEA">
              <w:rPr>
                <w:sz w:val="22"/>
                <w:szCs w:val="22"/>
              </w:rPr>
              <w:t>f</w:t>
            </w:r>
            <w:r w:rsidR="009F2B03" w:rsidRPr="001F4CEA">
              <w:rPr>
                <w:sz w:val="22"/>
                <w:szCs w:val="22"/>
              </w:rPr>
              <w:t>giften (affaldsvarmeafgiften) på rumvarme fra affald isoleret set stiger med ca. 35 pct., hvilket ikke synes at harmonere med den ti</w:t>
            </w:r>
            <w:r w:rsidR="009F2B03" w:rsidRPr="001F4CEA">
              <w:rPr>
                <w:sz w:val="22"/>
                <w:szCs w:val="22"/>
              </w:rPr>
              <w:t>l</w:t>
            </w:r>
            <w:r w:rsidR="009F2B03" w:rsidRPr="001F4CEA">
              <w:rPr>
                <w:sz w:val="22"/>
                <w:szCs w:val="22"/>
              </w:rPr>
              <w:t xml:space="preserve">sigtede stigning på ca. 16,6 pct., der indføres for fossile brændsler. Det bør som minimum fremgå af lovforslaget. </w:t>
            </w:r>
          </w:p>
        </w:tc>
        <w:tc>
          <w:tcPr>
            <w:tcW w:w="2991" w:type="dxa"/>
          </w:tcPr>
          <w:p w:rsidR="00E629E9" w:rsidRPr="001F4CEA" w:rsidRDefault="00E629E9" w:rsidP="00E629E9">
            <w:pPr>
              <w:rPr>
                <w:rStyle w:val="Fremhv"/>
                <w:i w:val="0"/>
                <w:sz w:val="22"/>
                <w:szCs w:val="22"/>
              </w:rPr>
            </w:pPr>
            <w:r w:rsidRPr="001F4CEA">
              <w:rPr>
                <w:rStyle w:val="Fremhv"/>
                <w:i w:val="0"/>
                <w:sz w:val="22"/>
                <w:szCs w:val="22"/>
              </w:rPr>
              <w:t xml:space="preserve">Der henvises til </w:t>
            </w:r>
            <w:r w:rsidR="00094E64">
              <w:rPr>
                <w:rStyle w:val="Fremhv"/>
                <w:i w:val="0"/>
                <w:sz w:val="22"/>
                <w:szCs w:val="22"/>
              </w:rPr>
              <w:t xml:space="preserve">kommentaren </w:t>
            </w:r>
            <w:r w:rsidRPr="001F4CEA">
              <w:rPr>
                <w:rStyle w:val="Fremhv"/>
                <w:i w:val="0"/>
                <w:sz w:val="22"/>
                <w:szCs w:val="22"/>
              </w:rPr>
              <w:t xml:space="preserve">til Dansk Affaldsforening. </w:t>
            </w:r>
          </w:p>
          <w:p w:rsidR="00E629E9" w:rsidRPr="001F4CEA" w:rsidRDefault="00E629E9" w:rsidP="00E629E9">
            <w:pPr>
              <w:rPr>
                <w:rStyle w:val="Fremhv"/>
                <w:i w:val="0"/>
                <w:sz w:val="22"/>
                <w:szCs w:val="22"/>
              </w:rPr>
            </w:pPr>
          </w:p>
          <w:p w:rsidR="00E629E9" w:rsidRPr="001F4CEA" w:rsidRDefault="00E629E9" w:rsidP="00E629E9">
            <w:pPr>
              <w:rPr>
                <w:rStyle w:val="Fremhv"/>
                <w:i w:val="0"/>
                <w:sz w:val="22"/>
                <w:szCs w:val="22"/>
              </w:rPr>
            </w:pPr>
          </w:p>
          <w:p w:rsidR="00E629E9" w:rsidRPr="001F4CEA" w:rsidRDefault="00E629E9" w:rsidP="00E629E9">
            <w:pPr>
              <w:rPr>
                <w:rStyle w:val="Fremhv"/>
                <w:i w:val="0"/>
                <w:sz w:val="22"/>
                <w:szCs w:val="22"/>
              </w:rPr>
            </w:pPr>
          </w:p>
          <w:p w:rsidR="00E629E9" w:rsidRDefault="00E629E9" w:rsidP="00E629E9">
            <w:pPr>
              <w:rPr>
                <w:rStyle w:val="Fremhv"/>
                <w:i w:val="0"/>
                <w:sz w:val="22"/>
                <w:szCs w:val="22"/>
              </w:rPr>
            </w:pPr>
          </w:p>
          <w:p w:rsidR="00E629E9" w:rsidRDefault="00E629E9" w:rsidP="00E629E9">
            <w:pPr>
              <w:rPr>
                <w:rStyle w:val="Fremhv"/>
                <w:i w:val="0"/>
                <w:sz w:val="22"/>
                <w:szCs w:val="22"/>
              </w:rPr>
            </w:pPr>
          </w:p>
          <w:p w:rsidR="00267DFB" w:rsidRPr="001F4CEA" w:rsidRDefault="00267DFB" w:rsidP="00E629E9">
            <w:pPr>
              <w:rPr>
                <w:rStyle w:val="Fremhv"/>
                <w:i w:val="0"/>
                <w:sz w:val="22"/>
                <w:szCs w:val="22"/>
              </w:rPr>
            </w:pPr>
          </w:p>
          <w:p w:rsidR="00D839EC" w:rsidRPr="00D839EC" w:rsidRDefault="00D839EC" w:rsidP="00D839EC">
            <w:pPr>
              <w:rPr>
                <w:sz w:val="22"/>
                <w:szCs w:val="22"/>
              </w:rPr>
            </w:pPr>
            <w:r w:rsidRPr="00D839EC">
              <w:rPr>
                <w:sz w:val="22"/>
                <w:szCs w:val="22"/>
              </w:rPr>
              <w:t>Affaldsvarme, der leveres, er pålagt både affaldsvarmeafgift og tillægsafgift.</w:t>
            </w:r>
          </w:p>
          <w:p w:rsidR="00E629E9" w:rsidRPr="001F4CEA" w:rsidRDefault="00D839EC" w:rsidP="00D839EC">
            <w:pPr>
              <w:rPr>
                <w:sz w:val="22"/>
                <w:szCs w:val="22"/>
              </w:rPr>
            </w:pPr>
            <w:r w:rsidRPr="00D839EC">
              <w:rPr>
                <w:sz w:val="22"/>
                <w:szCs w:val="22"/>
              </w:rPr>
              <w:t>Den samlede afgiftsstigning for leveret affaldsvarme udgør sål</w:t>
            </w:r>
            <w:r w:rsidR="0039143A">
              <w:rPr>
                <w:sz w:val="22"/>
                <w:szCs w:val="22"/>
              </w:rPr>
              <w:t xml:space="preserve">edes ca. 17 pct. </w:t>
            </w:r>
            <w:r w:rsidRPr="00D839EC">
              <w:rPr>
                <w:sz w:val="22"/>
                <w:szCs w:val="22"/>
              </w:rPr>
              <w:t xml:space="preserve">svarende </w:t>
            </w:r>
            <w:r w:rsidR="0039143A">
              <w:rPr>
                <w:sz w:val="22"/>
                <w:szCs w:val="22"/>
              </w:rPr>
              <w:t xml:space="preserve">til </w:t>
            </w:r>
            <w:r w:rsidRPr="00D839EC">
              <w:rPr>
                <w:sz w:val="22"/>
                <w:szCs w:val="22"/>
              </w:rPr>
              <w:t>afgiftsstigningen for leveret varme fra centrale værker.</w:t>
            </w:r>
          </w:p>
        </w:tc>
      </w:tr>
      <w:tr w:rsidR="00110DCA" w:rsidRPr="001F4CEA" w:rsidTr="00A56C38">
        <w:tc>
          <w:tcPr>
            <w:tcW w:w="1809" w:type="dxa"/>
          </w:tcPr>
          <w:p w:rsidR="00110DCA" w:rsidRPr="001F4CEA" w:rsidRDefault="00110DCA">
            <w:pPr>
              <w:rPr>
                <w:sz w:val="22"/>
                <w:szCs w:val="22"/>
              </w:rPr>
            </w:pPr>
            <w:r w:rsidRPr="001F4CEA">
              <w:rPr>
                <w:sz w:val="22"/>
                <w:szCs w:val="22"/>
              </w:rPr>
              <w:t>Energi – og oli</w:t>
            </w:r>
            <w:r w:rsidRPr="001F4CEA">
              <w:rPr>
                <w:sz w:val="22"/>
                <w:szCs w:val="22"/>
              </w:rPr>
              <w:t>e</w:t>
            </w:r>
            <w:r w:rsidRPr="001F4CEA">
              <w:rPr>
                <w:sz w:val="22"/>
                <w:szCs w:val="22"/>
              </w:rPr>
              <w:t>forum (EOF)</w:t>
            </w:r>
          </w:p>
        </w:tc>
        <w:tc>
          <w:tcPr>
            <w:tcW w:w="4245" w:type="dxa"/>
          </w:tcPr>
          <w:p w:rsidR="00C93559" w:rsidRPr="001F4CEA" w:rsidRDefault="00110DCA" w:rsidP="00B83BF8">
            <w:pPr>
              <w:rPr>
                <w:sz w:val="22"/>
                <w:szCs w:val="22"/>
              </w:rPr>
            </w:pPr>
            <w:r w:rsidRPr="001F4CEA">
              <w:rPr>
                <w:sz w:val="22"/>
                <w:szCs w:val="22"/>
              </w:rPr>
              <w:t xml:space="preserve">Forsyningssikkerhedsafgiften på fyringsolie vil ramme socialt skævt. </w:t>
            </w:r>
            <w:r w:rsidR="00967727" w:rsidRPr="001F4CEA">
              <w:rPr>
                <w:sz w:val="22"/>
                <w:szCs w:val="22"/>
              </w:rPr>
              <w:t>Fyringsolie anve</w:t>
            </w:r>
            <w:r w:rsidR="00967727" w:rsidRPr="001F4CEA">
              <w:rPr>
                <w:sz w:val="22"/>
                <w:szCs w:val="22"/>
              </w:rPr>
              <w:t>n</w:t>
            </w:r>
            <w:r w:rsidR="00967727" w:rsidRPr="001F4CEA">
              <w:rPr>
                <w:sz w:val="22"/>
                <w:szCs w:val="22"/>
              </w:rPr>
              <w:t xml:space="preserve">des typisk som opvarmning udenfor områder med kollektiv varmeforsyning. Oplysninger fra Danmarks Statistik viser, at </w:t>
            </w:r>
            <w:r w:rsidR="00C93559" w:rsidRPr="001F4CEA">
              <w:rPr>
                <w:sz w:val="22"/>
                <w:szCs w:val="22"/>
              </w:rPr>
              <w:t>de områder, hvor der er den største koncentration af bol</w:t>
            </w:r>
            <w:r w:rsidR="00C93559" w:rsidRPr="001F4CEA">
              <w:rPr>
                <w:sz w:val="22"/>
                <w:szCs w:val="22"/>
              </w:rPr>
              <w:t>i</w:t>
            </w:r>
            <w:r w:rsidR="00C93559" w:rsidRPr="001F4CEA">
              <w:rPr>
                <w:sz w:val="22"/>
                <w:szCs w:val="22"/>
              </w:rPr>
              <w:t xml:space="preserve">ger opvarmet med olie, er familiens indkomst og formue lavere end gennemsnittet for hele landet. </w:t>
            </w:r>
          </w:p>
          <w:p w:rsidR="00C93559" w:rsidRPr="001F4CEA" w:rsidRDefault="00C93559" w:rsidP="00B83BF8">
            <w:pPr>
              <w:rPr>
                <w:sz w:val="22"/>
                <w:szCs w:val="22"/>
              </w:rPr>
            </w:pPr>
            <w:r w:rsidRPr="001F4CEA">
              <w:rPr>
                <w:sz w:val="22"/>
                <w:szCs w:val="22"/>
              </w:rPr>
              <w:t>Samtidig er der typisk tale om boliger og varmeanlæg, der ikke umiddelbar egner sig til eldrevne varmepumper. Der henvises til en Energistyrelsens rapport ”Afdækning af p</w:t>
            </w:r>
            <w:r w:rsidRPr="001F4CEA">
              <w:rPr>
                <w:sz w:val="22"/>
                <w:szCs w:val="22"/>
              </w:rPr>
              <w:t>o</w:t>
            </w:r>
            <w:r w:rsidRPr="001F4CEA">
              <w:rPr>
                <w:sz w:val="22"/>
                <w:szCs w:val="22"/>
              </w:rPr>
              <w:t>tentiale for varmepumper til opvarmning af helårshuse i Danmark til erstatning for oli</w:t>
            </w:r>
            <w:r w:rsidRPr="001F4CEA">
              <w:rPr>
                <w:sz w:val="22"/>
                <w:szCs w:val="22"/>
              </w:rPr>
              <w:t>e</w:t>
            </w:r>
            <w:r w:rsidRPr="001F4CEA">
              <w:rPr>
                <w:sz w:val="22"/>
                <w:szCs w:val="22"/>
              </w:rPr>
              <w:t>fyr”.</w:t>
            </w:r>
          </w:p>
          <w:p w:rsidR="00110DCA" w:rsidRPr="001F4CEA" w:rsidRDefault="00C93559" w:rsidP="00AF6899">
            <w:pPr>
              <w:rPr>
                <w:sz w:val="22"/>
                <w:szCs w:val="22"/>
              </w:rPr>
            </w:pPr>
            <w:r w:rsidRPr="001F4CEA">
              <w:rPr>
                <w:sz w:val="22"/>
                <w:szCs w:val="22"/>
              </w:rPr>
              <w:t>Disse boligejere skal derfor ud i store inv</w:t>
            </w:r>
            <w:r w:rsidRPr="001F4CEA">
              <w:rPr>
                <w:sz w:val="22"/>
                <w:szCs w:val="22"/>
              </w:rPr>
              <w:t>e</w:t>
            </w:r>
            <w:r w:rsidRPr="001F4CEA">
              <w:rPr>
                <w:sz w:val="22"/>
                <w:szCs w:val="22"/>
              </w:rPr>
              <w:t>steringer til ombygning af varmesystem og energirenovering, før en varmepumpe vil v</w:t>
            </w:r>
            <w:r w:rsidRPr="001F4CEA">
              <w:rPr>
                <w:sz w:val="22"/>
                <w:szCs w:val="22"/>
              </w:rPr>
              <w:t>æ</w:t>
            </w:r>
            <w:r w:rsidRPr="001F4CEA">
              <w:rPr>
                <w:sz w:val="22"/>
                <w:szCs w:val="22"/>
              </w:rPr>
              <w:t xml:space="preserve">re en realistisk mulighed som opvarmning.  </w:t>
            </w:r>
            <w:r w:rsidR="00AF6899" w:rsidRPr="001F4CEA">
              <w:rPr>
                <w:sz w:val="22"/>
                <w:szCs w:val="22"/>
              </w:rPr>
              <w:t xml:space="preserve">Investeringerne er ikke rentable, og vil i mange tilfælde overstige boligens værdi og ejerens økonomiske formåen. </w:t>
            </w:r>
          </w:p>
          <w:p w:rsidR="00AF6899" w:rsidRPr="001F4CEA" w:rsidRDefault="00AF6899" w:rsidP="00AF6899">
            <w:pPr>
              <w:rPr>
                <w:sz w:val="22"/>
                <w:szCs w:val="22"/>
              </w:rPr>
            </w:pPr>
            <w:r w:rsidRPr="001F4CEA">
              <w:rPr>
                <w:sz w:val="22"/>
                <w:szCs w:val="22"/>
              </w:rPr>
              <w:t>I henhold til lovforslaget skal forsyningssi</w:t>
            </w:r>
            <w:r w:rsidRPr="001F4CEA">
              <w:rPr>
                <w:sz w:val="22"/>
                <w:szCs w:val="22"/>
              </w:rPr>
              <w:t>k</w:t>
            </w:r>
            <w:r w:rsidRPr="001F4CEA">
              <w:rPr>
                <w:sz w:val="22"/>
                <w:szCs w:val="22"/>
              </w:rPr>
              <w:t xml:space="preserve">kerhedsafgiften samtidig finansiere </w:t>
            </w:r>
            <w:r w:rsidRPr="001F4CEA">
              <w:rPr>
                <w:i/>
                <w:sz w:val="22"/>
                <w:szCs w:val="22"/>
              </w:rPr>
              <w:t>Solcell</w:t>
            </w:r>
            <w:r w:rsidRPr="001F4CEA">
              <w:rPr>
                <w:i/>
                <w:sz w:val="22"/>
                <w:szCs w:val="22"/>
              </w:rPr>
              <w:t>e</w:t>
            </w:r>
            <w:r w:rsidRPr="001F4CEA">
              <w:rPr>
                <w:i/>
                <w:sz w:val="22"/>
                <w:szCs w:val="22"/>
              </w:rPr>
              <w:t>aftalen</w:t>
            </w:r>
            <w:r w:rsidRPr="001F4CEA">
              <w:rPr>
                <w:sz w:val="22"/>
                <w:szCs w:val="22"/>
              </w:rPr>
              <w:t>, også her rammer afgiften socialt skævt. Det er typisk ikke de føromtalte b</w:t>
            </w:r>
            <w:r w:rsidRPr="001F4CEA">
              <w:rPr>
                <w:sz w:val="22"/>
                <w:szCs w:val="22"/>
              </w:rPr>
              <w:t>o</w:t>
            </w:r>
            <w:r w:rsidRPr="001F4CEA">
              <w:rPr>
                <w:sz w:val="22"/>
                <w:szCs w:val="22"/>
              </w:rPr>
              <w:t>ligejere, der har økonomisk råderum til at i</w:t>
            </w:r>
            <w:r w:rsidRPr="001F4CEA">
              <w:rPr>
                <w:sz w:val="22"/>
                <w:szCs w:val="22"/>
              </w:rPr>
              <w:t>n</w:t>
            </w:r>
            <w:r w:rsidRPr="001F4CEA">
              <w:rPr>
                <w:sz w:val="22"/>
                <w:szCs w:val="22"/>
              </w:rPr>
              <w:t xml:space="preserve">stallere solceller. </w:t>
            </w:r>
          </w:p>
          <w:p w:rsidR="00AF6899" w:rsidRPr="001F4CEA" w:rsidRDefault="00AF6899" w:rsidP="00AF6899">
            <w:pPr>
              <w:rPr>
                <w:sz w:val="22"/>
                <w:szCs w:val="22"/>
              </w:rPr>
            </w:pPr>
            <w:r w:rsidRPr="001F4CEA">
              <w:rPr>
                <w:sz w:val="22"/>
                <w:szCs w:val="22"/>
              </w:rPr>
              <w:t>Konsekvensen er, at det vil være familier med de laveste indkomster og formuer, der opvarmer deres boliger med fyringsolie, som skal betale for at mere velstillede boligejere fortsat skal begunstiges med favorable a</w:t>
            </w:r>
            <w:r w:rsidRPr="001F4CEA">
              <w:rPr>
                <w:sz w:val="22"/>
                <w:szCs w:val="22"/>
              </w:rPr>
              <w:t>f</w:t>
            </w:r>
            <w:r w:rsidRPr="001F4CEA">
              <w:rPr>
                <w:sz w:val="22"/>
                <w:szCs w:val="22"/>
              </w:rPr>
              <w:t>skrivnings- og afregningsregler på solceller.</w:t>
            </w:r>
          </w:p>
          <w:p w:rsidR="00AF6899" w:rsidRPr="001F4CEA" w:rsidRDefault="00AF6899" w:rsidP="00AF6899">
            <w:pPr>
              <w:rPr>
                <w:sz w:val="22"/>
                <w:szCs w:val="22"/>
              </w:rPr>
            </w:pPr>
            <w:r w:rsidRPr="001F4CEA">
              <w:rPr>
                <w:sz w:val="22"/>
                <w:szCs w:val="22"/>
              </w:rPr>
              <w:t>Det fremgår af lovforslaget, at forsyningssi</w:t>
            </w:r>
            <w:r w:rsidRPr="001F4CEA">
              <w:rPr>
                <w:sz w:val="22"/>
                <w:szCs w:val="22"/>
              </w:rPr>
              <w:t>k</w:t>
            </w:r>
            <w:r w:rsidRPr="001F4CEA">
              <w:rPr>
                <w:sz w:val="22"/>
                <w:szCs w:val="22"/>
              </w:rPr>
              <w:t xml:space="preserve">kerhedsafgiften også skal omfatte </w:t>
            </w:r>
            <w:r w:rsidRPr="00EF01B0">
              <w:rPr>
                <w:sz w:val="22"/>
                <w:szCs w:val="22"/>
              </w:rPr>
              <w:t>smøreolie</w:t>
            </w:r>
            <w:r w:rsidR="00E629E9" w:rsidRPr="00EF01B0">
              <w:rPr>
                <w:sz w:val="22"/>
                <w:szCs w:val="22"/>
              </w:rPr>
              <w:t xml:space="preserve">, hvilket de </w:t>
            </w:r>
            <w:r w:rsidR="00A46E75" w:rsidRPr="00EF01B0">
              <w:rPr>
                <w:sz w:val="22"/>
                <w:szCs w:val="22"/>
              </w:rPr>
              <w:t>finder</w:t>
            </w:r>
            <w:r w:rsidR="00B231EA" w:rsidRPr="00EF01B0">
              <w:rPr>
                <w:sz w:val="22"/>
                <w:szCs w:val="22"/>
              </w:rPr>
              <w:t>,</w:t>
            </w:r>
            <w:r w:rsidR="00A46E75" w:rsidRPr="00EF01B0">
              <w:rPr>
                <w:sz w:val="22"/>
                <w:szCs w:val="22"/>
              </w:rPr>
              <w:t xml:space="preserve"> er i strid med </w:t>
            </w:r>
            <w:r w:rsidR="00A46E75" w:rsidRPr="00EF01B0">
              <w:rPr>
                <w:i/>
                <w:sz w:val="22"/>
                <w:szCs w:val="22"/>
              </w:rPr>
              <w:t>Energiaftale</w:t>
            </w:r>
            <w:r w:rsidR="00D53F17" w:rsidRPr="00EF01B0">
              <w:rPr>
                <w:i/>
                <w:sz w:val="22"/>
                <w:szCs w:val="22"/>
              </w:rPr>
              <w:t>n</w:t>
            </w:r>
            <w:r w:rsidR="00A46E75" w:rsidRPr="00EF01B0">
              <w:rPr>
                <w:i/>
                <w:sz w:val="22"/>
                <w:szCs w:val="22"/>
              </w:rPr>
              <w:t xml:space="preserve"> 2012</w:t>
            </w:r>
            <w:r w:rsidR="00513425" w:rsidRPr="00EF01B0">
              <w:rPr>
                <w:sz w:val="22"/>
                <w:szCs w:val="22"/>
              </w:rPr>
              <w:t>, hvoraf det fremgår, at forsyningssi</w:t>
            </w:r>
            <w:r w:rsidR="00513425" w:rsidRPr="00EF01B0">
              <w:rPr>
                <w:sz w:val="22"/>
                <w:szCs w:val="22"/>
              </w:rPr>
              <w:t>k</w:t>
            </w:r>
            <w:r w:rsidR="00513425" w:rsidRPr="00EF01B0">
              <w:rPr>
                <w:sz w:val="22"/>
                <w:szCs w:val="22"/>
              </w:rPr>
              <w:t>kerhedsafgiften</w:t>
            </w:r>
            <w:r w:rsidR="00513425" w:rsidRPr="001F4CEA">
              <w:rPr>
                <w:sz w:val="22"/>
                <w:szCs w:val="22"/>
              </w:rPr>
              <w:t xml:space="preserve"> skal pålægges al rumvarme. </w:t>
            </w:r>
          </w:p>
          <w:p w:rsidR="00513425" w:rsidRPr="001F4CEA" w:rsidRDefault="00513425" w:rsidP="00AF6899">
            <w:pPr>
              <w:rPr>
                <w:sz w:val="22"/>
                <w:szCs w:val="22"/>
              </w:rPr>
            </w:pPr>
            <w:r w:rsidRPr="001F4CEA">
              <w:rPr>
                <w:sz w:val="22"/>
                <w:szCs w:val="22"/>
              </w:rPr>
              <w:t>De har ikke kendskab til, at smøreolie a</w:t>
            </w:r>
            <w:r w:rsidRPr="001F4CEA">
              <w:rPr>
                <w:sz w:val="22"/>
                <w:szCs w:val="22"/>
              </w:rPr>
              <w:t>n</w:t>
            </w:r>
            <w:r w:rsidRPr="001F4CEA">
              <w:rPr>
                <w:sz w:val="22"/>
                <w:szCs w:val="22"/>
              </w:rPr>
              <w:t>vendes til rumopvarmning nogle steder i Danmark. Smøreolie er et væsentligt dyrere produkt end fyringsolie. Derudover er det teknisk ikke muligt at afbrænde smøreolie i de gængse oliefyr.</w:t>
            </w:r>
          </w:p>
          <w:p w:rsidR="00513425" w:rsidRPr="001F4CEA" w:rsidRDefault="00513425" w:rsidP="00AF6899">
            <w:pPr>
              <w:rPr>
                <w:sz w:val="22"/>
                <w:szCs w:val="22"/>
              </w:rPr>
            </w:pPr>
            <w:r w:rsidRPr="001F4CEA">
              <w:rPr>
                <w:sz w:val="22"/>
                <w:szCs w:val="22"/>
              </w:rPr>
              <w:t>Smøreolie anvendes til smøring af motorer og andet mekanisk udstyr. En stor del af smøreolien anvendes i erhvervsmæssig sa</w:t>
            </w:r>
            <w:r w:rsidRPr="001F4CEA">
              <w:rPr>
                <w:sz w:val="22"/>
                <w:szCs w:val="22"/>
              </w:rPr>
              <w:t>m</w:t>
            </w:r>
            <w:r w:rsidRPr="001F4CEA">
              <w:rPr>
                <w:sz w:val="22"/>
                <w:szCs w:val="22"/>
              </w:rPr>
              <w:t>menhæng f.eks. som smøreolie til bilparken. En forøgelse af afgiften på smøreolie vil b</w:t>
            </w:r>
            <w:r w:rsidRPr="001F4CEA">
              <w:rPr>
                <w:sz w:val="22"/>
                <w:szCs w:val="22"/>
              </w:rPr>
              <w:t>e</w:t>
            </w:r>
            <w:r w:rsidRPr="001F4CEA">
              <w:rPr>
                <w:sz w:val="22"/>
                <w:szCs w:val="22"/>
              </w:rPr>
              <w:t>laste erhvervslivet yderligere, hvilket der i</w:t>
            </w:r>
            <w:r w:rsidRPr="001F4CEA">
              <w:rPr>
                <w:sz w:val="22"/>
                <w:szCs w:val="22"/>
              </w:rPr>
              <w:t>k</w:t>
            </w:r>
            <w:r w:rsidRPr="001F4CEA">
              <w:rPr>
                <w:sz w:val="22"/>
                <w:szCs w:val="22"/>
              </w:rPr>
              <w:t xml:space="preserve">ke er taget højde for i lovforslaget. </w:t>
            </w:r>
          </w:p>
          <w:p w:rsidR="00513425" w:rsidRPr="001F4CEA" w:rsidRDefault="00513425" w:rsidP="00AF6899">
            <w:pPr>
              <w:rPr>
                <w:sz w:val="22"/>
                <w:szCs w:val="22"/>
              </w:rPr>
            </w:pPr>
            <w:r w:rsidRPr="001F4CEA">
              <w:rPr>
                <w:sz w:val="22"/>
                <w:szCs w:val="22"/>
              </w:rPr>
              <w:t xml:space="preserve">Derudover er der efter deres oplysninger hverken i Sverige eller Tyskland afgifter på smøreolie. En forhøjelse vil kunne føre til yderligere grænsehandel. </w:t>
            </w:r>
          </w:p>
          <w:p w:rsidR="00513425" w:rsidRPr="001F4CEA" w:rsidRDefault="00513425" w:rsidP="00AF6899">
            <w:pPr>
              <w:rPr>
                <w:sz w:val="22"/>
                <w:szCs w:val="22"/>
              </w:rPr>
            </w:pPr>
            <w:r w:rsidRPr="001F4CEA">
              <w:rPr>
                <w:sz w:val="22"/>
                <w:szCs w:val="22"/>
              </w:rPr>
              <w:t xml:space="preserve">Endelig er der ikke nogle forsyningsmæssige udfordringer i forhold til smøreolie. </w:t>
            </w:r>
            <w:r w:rsidR="007E6E80" w:rsidRPr="001F4CEA">
              <w:rPr>
                <w:sz w:val="22"/>
                <w:szCs w:val="22"/>
              </w:rPr>
              <w:t>Der er etableret en indsamlingsordning for brugt smøreolie – såkaldt spildolie. Al den indsa</w:t>
            </w:r>
            <w:r w:rsidR="007E6E80" w:rsidRPr="001F4CEA">
              <w:rPr>
                <w:sz w:val="22"/>
                <w:szCs w:val="22"/>
              </w:rPr>
              <w:t>m</w:t>
            </w:r>
            <w:r w:rsidR="007E6E80" w:rsidRPr="001F4CEA">
              <w:rPr>
                <w:sz w:val="22"/>
                <w:szCs w:val="22"/>
              </w:rPr>
              <w:t>lede spildolie sendes til regenerering og a</w:t>
            </w:r>
            <w:r w:rsidR="007E6E80" w:rsidRPr="001F4CEA">
              <w:rPr>
                <w:sz w:val="22"/>
                <w:szCs w:val="22"/>
              </w:rPr>
              <w:t>n</w:t>
            </w:r>
            <w:r w:rsidR="007E6E80" w:rsidRPr="001F4CEA">
              <w:rPr>
                <w:sz w:val="22"/>
                <w:szCs w:val="22"/>
              </w:rPr>
              <w:t>vendes som baseolie til ny smøreolie. En fo</w:t>
            </w:r>
            <w:r w:rsidR="007E6E80" w:rsidRPr="001F4CEA">
              <w:rPr>
                <w:sz w:val="22"/>
                <w:szCs w:val="22"/>
              </w:rPr>
              <w:t>r</w:t>
            </w:r>
            <w:r w:rsidR="007E6E80" w:rsidRPr="001F4CEA">
              <w:rPr>
                <w:sz w:val="22"/>
                <w:szCs w:val="22"/>
              </w:rPr>
              <w:t xml:space="preserve">syningssikkerhedsafgift på smøreolie giver derfor ikke mening. </w:t>
            </w:r>
          </w:p>
        </w:tc>
        <w:tc>
          <w:tcPr>
            <w:tcW w:w="2991" w:type="dxa"/>
          </w:tcPr>
          <w:p w:rsidR="001618A1" w:rsidRDefault="001618A1">
            <w:pPr>
              <w:rPr>
                <w:sz w:val="22"/>
                <w:szCs w:val="22"/>
              </w:rPr>
            </w:pPr>
            <w:r>
              <w:rPr>
                <w:sz w:val="22"/>
                <w:szCs w:val="22"/>
              </w:rPr>
              <w:t>Fordelingshensyn tilgodeses igennem det samlede skattes</w:t>
            </w:r>
            <w:r>
              <w:rPr>
                <w:sz w:val="22"/>
                <w:szCs w:val="22"/>
              </w:rPr>
              <w:t>y</w:t>
            </w:r>
            <w:r>
              <w:rPr>
                <w:sz w:val="22"/>
                <w:szCs w:val="22"/>
              </w:rPr>
              <w:t xml:space="preserve">stem. </w:t>
            </w:r>
          </w:p>
          <w:p w:rsidR="00F31852" w:rsidRPr="001F4CEA" w:rsidRDefault="00A009E0">
            <w:pPr>
              <w:rPr>
                <w:sz w:val="22"/>
                <w:szCs w:val="22"/>
              </w:rPr>
            </w:pPr>
            <w:r>
              <w:rPr>
                <w:sz w:val="22"/>
                <w:szCs w:val="22"/>
              </w:rPr>
              <w:t>R</w:t>
            </w:r>
            <w:r w:rsidR="001618A1">
              <w:rPr>
                <w:sz w:val="22"/>
                <w:szCs w:val="22"/>
              </w:rPr>
              <w:t xml:space="preserve">egeringen </w:t>
            </w:r>
            <w:r>
              <w:rPr>
                <w:sz w:val="22"/>
                <w:szCs w:val="22"/>
              </w:rPr>
              <w:t xml:space="preserve">har </w:t>
            </w:r>
            <w:r w:rsidR="001618A1">
              <w:rPr>
                <w:sz w:val="22"/>
                <w:szCs w:val="22"/>
              </w:rPr>
              <w:t xml:space="preserve">sammen med Enhedslisten </w:t>
            </w:r>
            <w:r>
              <w:rPr>
                <w:sz w:val="22"/>
                <w:szCs w:val="22"/>
              </w:rPr>
              <w:t xml:space="preserve">f.eks. </w:t>
            </w:r>
            <w:r w:rsidR="001618A1">
              <w:rPr>
                <w:sz w:val="22"/>
                <w:szCs w:val="22"/>
              </w:rPr>
              <w:t>forhøjet den grønne check, som netop kompenserer de laveste in</w:t>
            </w:r>
            <w:r w:rsidR="001618A1">
              <w:rPr>
                <w:sz w:val="22"/>
                <w:szCs w:val="22"/>
              </w:rPr>
              <w:t>d</w:t>
            </w:r>
            <w:r w:rsidR="001618A1">
              <w:rPr>
                <w:sz w:val="22"/>
                <w:szCs w:val="22"/>
              </w:rPr>
              <w:t>komster for højere grønne a</w:t>
            </w:r>
            <w:r w:rsidR="001618A1">
              <w:rPr>
                <w:sz w:val="22"/>
                <w:szCs w:val="22"/>
              </w:rPr>
              <w:t>f</w:t>
            </w:r>
            <w:r w:rsidR="001618A1">
              <w:rPr>
                <w:sz w:val="22"/>
                <w:szCs w:val="22"/>
              </w:rPr>
              <w:t xml:space="preserve">gifter.  </w:t>
            </w:r>
          </w:p>
          <w:p w:rsidR="00F31852" w:rsidRPr="001F4CEA" w:rsidRDefault="00F31852">
            <w:pPr>
              <w:rPr>
                <w:sz w:val="22"/>
                <w:szCs w:val="22"/>
              </w:rPr>
            </w:pPr>
          </w:p>
          <w:p w:rsidR="00F31852" w:rsidRPr="001F4CEA" w:rsidRDefault="00F31852">
            <w:pPr>
              <w:rPr>
                <w:sz w:val="22"/>
                <w:szCs w:val="22"/>
              </w:rPr>
            </w:pPr>
          </w:p>
          <w:p w:rsidR="00F31852" w:rsidRPr="001F4CEA" w:rsidRDefault="00F31852">
            <w:pPr>
              <w:rPr>
                <w:sz w:val="22"/>
                <w:szCs w:val="22"/>
              </w:rPr>
            </w:pPr>
          </w:p>
          <w:p w:rsidR="00F31852" w:rsidRPr="001F4CEA" w:rsidRDefault="00F31852">
            <w:pPr>
              <w:rPr>
                <w:sz w:val="22"/>
                <w:szCs w:val="22"/>
              </w:rPr>
            </w:pPr>
          </w:p>
          <w:p w:rsidR="00F31852" w:rsidRPr="001F4CEA" w:rsidRDefault="00F31852">
            <w:pPr>
              <w:rPr>
                <w:sz w:val="22"/>
                <w:szCs w:val="22"/>
              </w:rPr>
            </w:pPr>
          </w:p>
          <w:p w:rsidR="00F31852" w:rsidRPr="001F4CEA" w:rsidRDefault="00F31852">
            <w:pPr>
              <w:rPr>
                <w:sz w:val="22"/>
                <w:szCs w:val="22"/>
              </w:rPr>
            </w:pPr>
          </w:p>
          <w:p w:rsidR="00F31852" w:rsidRDefault="00F31852">
            <w:pPr>
              <w:rPr>
                <w:sz w:val="22"/>
                <w:szCs w:val="22"/>
              </w:rPr>
            </w:pPr>
          </w:p>
          <w:p w:rsidR="00546069" w:rsidRDefault="00546069">
            <w:pPr>
              <w:rPr>
                <w:sz w:val="22"/>
                <w:szCs w:val="22"/>
              </w:rPr>
            </w:pPr>
          </w:p>
          <w:p w:rsidR="00546069" w:rsidRDefault="00546069">
            <w:pPr>
              <w:rPr>
                <w:sz w:val="22"/>
                <w:szCs w:val="22"/>
              </w:rPr>
            </w:pPr>
          </w:p>
          <w:p w:rsidR="00546069" w:rsidRPr="001F4CEA" w:rsidRDefault="00546069">
            <w:pPr>
              <w:rPr>
                <w:sz w:val="22"/>
                <w:szCs w:val="22"/>
              </w:rPr>
            </w:pPr>
          </w:p>
          <w:p w:rsidR="00B53811" w:rsidRPr="001F4CEA" w:rsidRDefault="00B53811" w:rsidP="00F31852">
            <w:pPr>
              <w:rPr>
                <w:sz w:val="22"/>
                <w:szCs w:val="22"/>
              </w:rPr>
            </w:pPr>
            <w:r w:rsidRPr="001F4CEA">
              <w:rPr>
                <w:sz w:val="22"/>
                <w:szCs w:val="22"/>
              </w:rPr>
              <w:t>Det er et overordnet princip i energiafgiftslovene for de fo</w:t>
            </w:r>
            <w:r w:rsidRPr="001F4CEA">
              <w:rPr>
                <w:sz w:val="22"/>
                <w:szCs w:val="22"/>
              </w:rPr>
              <w:t>s</w:t>
            </w:r>
            <w:r w:rsidRPr="001F4CEA">
              <w:rPr>
                <w:sz w:val="22"/>
                <w:szCs w:val="22"/>
              </w:rPr>
              <w:t>sile brændsler, at afgiften a</w:t>
            </w:r>
            <w:r w:rsidRPr="001F4CEA">
              <w:rPr>
                <w:sz w:val="22"/>
                <w:szCs w:val="22"/>
              </w:rPr>
              <w:t>f</w:t>
            </w:r>
            <w:r w:rsidRPr="001F4CEA">
              <w:rPr>
                <w:sz w:val="22"/>
                <w:szCs w:val="22"/>
              </w:rPr>
              <w:t xml:space="preserve">hænger </w:t>
            </w:r>
            <w:r w:rsidR="004C6091">
              <w:rPr>
                <w:sz w:val="22"/>
                <w:szCs w:val="22"/>
              </w:rPr>
              <w:t xml:space="preserve">af </w:t>
            </w:r>
            <w:r w:rsidRPr="001F4CEA">
              <w:rPr>
                <w:sz w:val="22"/>
                <w:szCs w:val="22"/>
              </w:rPr>
              <w:t xml:space="preserve">til hvilket formål brændslet er anvendt. </w:t>
            </w:r>
            <w:r w:rsidR="000C6E4F" w:rsidRPr="001F4CEA">
              <w:rPr>
                <w:sz w:val="22"/>
                <w:szCs w:val="22"/>
              </w:rPr>
              <w:t>Der so</w:t>
            </w:r>
            <w:r w:rsidR="000C6E4F" w:rsidRPr="001F4CEA">
              <w:rPr>
                <w:sz w:val="22"/>
                <w:szCs w:val="22"/>
              </w:rPr>
              <w:t>n</w:t>
            </w:r>
            <w:r w:rsidR="000C6E4F" w:rsidRPr="001F4CEA">
              <w:rPr>
                <w:sz w:val="22"/>
                <w:szCs w:val="22"/>
              </w:rPr>
              <w:t>dres således mellem brændsler anvendt til rumvarme og brændsler anvendt til proce</w:t>
            </w:r>
            <w:r w:rsidR="000C6E4F" w:rsidRPr="001F4CEA">
              <w:rPr>
                <w:sz w:val="22"/>
                <w:szCs w:val="22"/>
              </w:rPr>
              <w:t>s</w:t>
            </w:r>
            <w:r w:rsidR="000C6E4F" w:rsidRPr="001F4CEA">
              <w:rPr>
                <w:sz w:val="22"/>
                <w:szCs w:val="22"/>
              </w:rPr>
              <w:t xml:space="preserve">forbrug. </w:t>
            </w:r>
          </w:p>
          <w:p w:rsidR="000C6E4F" w:rsidRPr="001F4CEA" w:rsidRDefault="00FE6CDE" w:rsidP="000C6E4F">
            <w:pPr>
              <w:rPr>
                <w:sz w:val="22"/>
                <w:szCs w:val="22"/>
              </w:rPr>
            </w:pPr>
            <w:r w:rsidRPr="001F4CEA">
              <w:rPr>
                <w:sz w:val="22"/>
                <w:szCs w:val="22"/>
              </w:rPr>
              <w:t>U</w:t>
            </w:r>
            <w:r w:rsidR="000C6E4F" w:rsidRPr="001F4CEA">
              <w:rPr>
                <w:sz w:val="22"/>
                <w:szCs w:val="22"/>
              </w:rPr>
              <w:t>dgangspunktet</w:t>
            </w:r>
            <w:r w:rsidRPr="001F4CEA">
              <w:rPr>
                <w:sz w:val="22"/>
                <w:szCs w:val="22"/>
              </w:rPr>
              <w:t xml:space="preserve"> er</w:t>
            </w:r>
            <w:r w:rsidR="000C6E4F" w:rsidRPr="001F4CEA">
              <w:rPr>
                <w:sz w:val="22"/>
                <w:szCs w:val="22"/>
              </w:rPr>
              <w:t>, at energien betragtes som anvendt til ru</w:t>
            </w:r>
            <w:r w:rsidR="000C6E4F" w:rsidRPr="001F4CEA">
              <w:rPr>
                <w:sz w:val="22"/>
                <w:szCs w:val="22"/>
              </w:rPr>
              <w:t>m</w:t>
            </w:r>
            <w:r w:rsidR="000C6E4F" w:rsidRPr="001F4CEA">
              <w:rPr>
                <w:sz w:val="22"/>
                <w:szCs w:val="22"/>
              </w:rPr>
              <w:t>varme</w:t>
            </w:r>
            <w:r w:rsidR="00267DFB">
              <w:rPr>
                <w:sz w:val="22"/>
                <w:szCs w:val="22"/>
              </w:rPr>
              <w:t>,</w:t>
            </w:r>
            <w:r w:rsidR="000C6E4F" w:rsidRPr="001F4CEA">
              <w:rPr>
                <w:sz w:val="22"/>
                <w:szCs w:val="22"/>
              </w:rPr>
              <w:t xml:space="preserve"> med mindre det positiv</w:t>
            </w:r>
            <w:r w:rsidR="00175E9F" w:rsidRPr="001F4CEA">
              <w:rPr>
                <w:sz w:val="22"/>
                <w:szCs w:val="22"/>
              </w:rPr>
              <w:t>t</w:t>
            </w:r>
            <w:r w:rsidR="000C6E4F" w:rsidRPr="001F4CEA">
              <w:rPr>
                <w:sz w:val="22"/>
                <w:szCs w:val="22"/>
              </w:rPr>
              <w:t xml:space="preserve"> er defineret som proces. Ene</w:t>
            </w:r>
            <w:r w:rsidR="000C6E4F" w:rsidRPr="001F4CEA">
              <w:rPr>
                <w:sz w:val="22"/>
                <w:szCs w:val="22"/>
              </w:rPr>
              <w:t>r</w:t>
            </w:r>
            <w:r w:rsidR="000C6E4F" w:rsidRPr="001F4CEA">
              <w:rPr>
                <w:sz w:val="22"/>
                <w:szCs w:val="22"/>
              </w:rPr>
              <w:t xml:space="preserve">gi, der medgår til ændring af et produkt, anses </w:t>
            </w:r>
            <w:r w:rsidR="004C6091">
              <w:rPr>
                <w:sz w:val="22"/>
                <w:szCs w:val="22"/>
              </w:rPr>
              <w:t xml:space="preserve">for </w:t>
            </w:r>
            <w:r w:rsidR="000C6E4F" w:rsidRPr="001F4CEA">
              <w:rPr>
                <w:sz w:val="22"/>
                <w:szCs w:val="22"/>
              </w:rPr>
              <w:t xml:space="preserve">energi til proces. </w:t>
            </w:r>
          </w:p>
          <w:p w:rsidR="000C6E4F" w:rsidRPr="001F4CEA" w:rsidRDefault="000C6E4F" w:rsidP="000C6E4F">
            <w:pPr>
              <w:rPr>
                <w:sz w:val="22"/>
                <w:szCs w:val="22"/>
              </w:rPr>
            </w:pPr>
            <w:r w:rsidRPr="001F4CEA">
              <w:rPr>
                <w:sz w:val="22"/>
                <w:szCs w:val="22"/>
              </w:rPr>
              <w:t>Det er kun i forhold til mom</w:t>
            </w:r>
            <w:r w:rsidRPr="001F4CEA">
              <w:rPr>
                <w:sz w:val="22"/>
                <w:szCs w:val="22"/>
              </w:rPr>
              <w:t>s</w:t>
            </w:r>
            <w:r w:rsidRPr="001F4CEA">
              <w:rPr>
                <w:sz w:val="22"/>
                <w:szCs w:val="22"/>
              </w:rPr>
              <w:t>registrerede virksomheder, at det er relevant at tale om pr</w:t>
            </w:r>
            <w:r w:rsidRPr="001F4CEA">
              <w:rPr>
                <w:sz w:val="22"/>
                <w:szCs w:val="22"/>
              </w:rPr>
              <w:t>o</w:t>
            </w:r>
            <w:r w:rsidRPr="001F4CEA">
              <w:rPr>
                <w:sz w:val="22"/>
                <w:szCs w:val="22"/>
              </w:rPr>
              <w:t xml:space="preserve">cesenergi. </w:t>
            </w:r>
          </w:p>
          <w:p w:rsidR="00EE0A2B" w:rsidRDefault="00FE6CDE" w:rsidP="00175E9F">
            <w:pPr>
              <w:rPr>
                <w:sz w:val="22"/>
                <w:szCs w:val="22"/>
              </w:rPr>
            </w:pPr>
            <w:r w:rsidRPr="001F4CEA">
              <w:rPr>
                <w:sz w:val="22"/>
                <w:szCs w:val="22"/>
              </w:rPr>
              <w:t>Meget kort opsummeret bet</w:t>
            </w:r>
            <w:r w:rsidRPr="001F4CEA">
              <w:rPr>
                <w:sz w:val="22"/>
                <w:szCs w:val="22"/>
              </w:rPr>
              <w:t>y</w:t>
            </w:r>
            <w:r w:rsidRPr="001F4CEA">
              <w:rPr>
                <w:sz w:val="22"/>
                <w:szCs w:val="22"/>
              </w:rPr>
              <w:t>der dette, at såfremt brænd</w:t>
            </w:r>
            <w:r w:rsidRPr="001F4CEA">
              <w:rPr>
                <w:sz w:val="22"/>
                <w:szCs w:val="22"/>
              </w:rPr>
              <w:t>s</w:t>
            </w:r>
            <w:r w:rsidRPr="001F4CEA">
              <w:rPr>
                <w:sz w:val="22"/>
                <w:szCs w:val="22"/>
              </w:rPr>
              <w:t>lerne ikke er medgået til pr</w:t>
            </w:r>
            <w:r w:rsidRPr="001F4CEA">
              <w:rPr>
                <w:sz w:val="22"/>
                <w:szCs w:val="22"/>
              </w:rPr>
              <w:t>o</w:t>
            </w:r>
            <w:r w:rsidRPr="001F4CEA">
              <w:rPr>
                <w:sz w:val="22"/>
                <w:szCs w:val="22"/>
              </w:rPr>
              <w:t>cesformål, så anses de som a</w:t>
            </w:r>
            <w:r w:rsidRPr="001F4CEA">
              <w:rPr>
                <w:sz w:val="22"/>
                <w:szCs w:val="22"/>
              </w:rPr>
              <w:t>n</w:t>
            </w:r>
            <w:r w:rsidRPr="001F4CEA">
              <w:rPr>
                <w:sz w:val="22"/>
                <w:szCs w:val="22"/>
              </w:rPr>
              <w:t>vendt til rumvarme. I den sammenhæng skal rumvarme forstås bredt, da det reelt o</w:t>
            </w:r>
            <w:r w:rsidRPr="001F4CEA">
              <w:rPr>
                <w:sz w:val="22"/>
                <w:szCs w:val="22"/>
              </w:rPr>
              <w:t>m</w:t>
            </w:r>
            <w:r w:rsidRPr="001F4CEA">
              <w:rPr>
                <w:sz w:val="22"/>
                <w:szCs w:val="22"/>
              </w:rPr>
              <w:t xml:space="preserve">fatter al anden anvendelse end proces. </w:t>
            </w:r>
          </w:p>
          <w:p w:rsidR="00EF01B0" w:rsidRPr="001F4CEA" w:rsidRDefault="00B678E2" w:rsidP="00B678E2">
            <w:pPr>
              <w:rPr>
                <w:sz w:val="22"/>
                <w:szCs w:val="22"/>
              </w:rPr>
            </w:pPr>
            <w:r>
              <w:rPr>
                <w:sz w:val="22"/>
                <w:szCs w:val="22"/>
              </w:rPr>
              <w:t>Det vil sige, at s</w:t>
            </w:r>
            <w:r w:rsidR="00EF01B0">
              <w:rPr>
                <w:sz w:val="22"/>
                <w:szCs w:val="22"/>
              </w:rPr>
              <w:t>åfremt smør</w:t>
            </w:r>
            <w:r w:rsidR="00EF01B0">
              <w:rPr>
                <w:sz w:val="22"/>
                <w:szCs w:val="22"/>
              </w:rPr>
              <w:t>e</w:t>
            </w:r>
            <w:r w:rsidR="00EF01B0">
              <w:rPr>
                <w:sz w:val="22"/>
                <w:szCs w:val="22"/>
              </w:rPr>
              <w:t xml:space="preserve">olien ikke anses som anvendt til procesformål, vil den </w:t>
            </w:r>
            <w:r w:rsidR="00AD3A00">
              <w:rPr>
                <w:sz w:val="22"/>
                <w:szCs w:val="22"/>
              </w:rPr>
              <w:t xml:space="preserve">derfor </w:t>
            </w:r>
            <w:r w:rsidR="00EF01B0">
              <w:rPr>
                <w:sz w:val="22"/>
                <w:szCs w:val="22"/>
              </w:rPr>
              <w:t>være omfattet af begrebet ru</w:t>
            </w:r>
            <w:r w:rsidR="00EF01B0">
              <w:rPr>
                <w:sz w:val="22"/>
                <w:szCs w:val="22"/>
              </w:rPr>
              <w:t>m</w:t>
            </w:r>
            <w:r w:rsidR="00EF01B0">
              <w:rPr>
                <w:sz w:val="22"/>
                <w:szCs w:val="22"/>
              </w:rPr>
              <w:t xml:space="preserve">varme og dermed </w:t>
            </w:r>
            <w:r w:rsidR="00A009E0">
              <w:rPr>
                <w:sz w:val="22"/>
                <w:szCs w:val="22"/>
              </w:rPr>
              <w:t xml:space="preserve">af </w:t>
            </w:r>
            <w:bookmarkStart w:id="0" w:name="_GoBack"/>
            <w:bookmarkEnd w:id="0"/>
            <w:r w:rsidR="00EF01B0">
              <w:rPr>
                <w:sz w:val="22"/>
                <w:szCs w:val="22"/>
              </w:rPr>
              <w:t>afgiftsfo</w:t>
            </w:r>
            <w:r w:rsidR="00EF01B0">
              <w:rPr>
                <w:sz w:val="22"/>
                <w:szCs w:val="22"/>
              </w:rPr>
              <w:t>r</w:t>
            </w:r>
            <w:r w:rsidR="00EF01B0">
              <w:rPr>
                <w:sz w:val="22"/>
                <w:szCs w:val="22"/>
              </w:rPr>
              <w:t>højelserne.</w:t>
            </w:r>
          </w:p>
        </w:tc>
      </w:tr>
      <w:tr w:rsidR="00E12A5D" w:rsidRPr="001F4CEA" w:rsidTr="00A56C38">
        <w:tc>
          <w:tcPr>
            <w:tcW w:w="1809" w:type="dxa"/>
          </w:tcPr>
          <w:p w:rsidR="00E12A5D" w:rsidRPr="001F4CEA" w:rsidRDefault="00AA1EFE" w:rsidP="00AA1EFE">
            <w:pPr>
              <w:rPr>
                <w:sz w:val="22"/>
                <w:szCs w:val="22"/>
              </w:rPr>
            </w:pPr>
            <w:r w:rsidRPr="001F4CEA">
              <w:rPr>
                <w:sz w:val="22"/>
                <w:szCs w:val="22"/>
              </w:rPr>
              <w:t xml:space="preserve">Erhvervsstyrelsen </w:t>
            </w:r>
          </w:p>
        </w:tc>
        <w:tc>
          <w:tcPr>
            <w:tcW w:w="4245" w:type="dxa"/>
          </w:tcPr>
          <w:p w:rsidR="00E12A5D" w:rsidRPr="001F4CEA" w:rsidRDefault="00AA1EFE" w:rsidP="00AA1EFE">
            <w:pPr>
              <w:rPr>
                <w:sz w:val="22"/>
                <w:szCs w:val="22"/>
              </w:rPr>
            </w:pPr>
            <w:r w:rsidRPr="001F4CEA">
              <w:rPr>
                <w:sz w:val="22"/>
                <w:szCs w:val="22"/>
              </w:rPr>
              <w:t xml:space="preserve">Erhvervsstyrelsen har ingen bemærkninger. </w:t>
            </w:r>
          </w:p>
        </w:tc>
        <w:tc>
          <w:tcPr>
            <w:tcW w:w="2991" w:type="dxa"/>
          </w:tcPr>
          <w:p w:rsidR="00E12A5D" w:rsidRPr="001F4CEA" w:rsidRDefault="00E12A5D">
            <w:pPr>
              <w:rPr>
                <w:sz w:val="22"/>
                <w:szCs w:val="22"/>
              </w:rPr>
            </w:pPr>
          </w:p>
        </w:tc>
      </w:tr>
      <w:tr w:rsidR="00FC7C92" w:rsidRPr="001F4CEA" w:rsidTr="00A56C38">
        <w:tc>
          <w:tcPr>
            <w:tcW w:w="1809" w:type="dxa"/>
          </w:tcPr>
          <w:p w:rsidR="00FC7C92" w:rsidRPr="001F4CEA" w:rsidRDefault="003603A7">
            <w:pPr>
              <w:rPr>
                <w:sz w:val="22"/>
                <w:szCs w:val="22"/>
              </w:rPr>
            </w:pPr>
            <w:r w:rsidRPr="001F4CEA">
              <w:rPr>
                <w:sz w:val="22"/>
                <w:szCs w:val="22"/>
              </w:rPr>
              <w:t>Foreningen Da</w:t>
            </w:r>
            <w:r w:rsidRPr="001F4CEA">
              <w:rPr>
                <w:sz w:val="22"/>
                <w:szCs w:val="22"/>
              </w:rPr>
              <w:t>n</w:t>
            </w:r>
            <w:r w:rsidRPr="001F4CEA">
              <w:rPr>
                <w:sz w:val="22"/>
                <w:szCs w:val="22"/>
              </w:rPr>
              <w:t>ske Kraftvarm</w:t>
            </w:r>
            <w:r w:rsidRPr="001F4CEA">
              <w:rPr>
                <w:sz w:val="22"/>
                <w:szCs w:val="22"/>
              </w:rPr>
              <w:t>e</w:t>
            </w:r>
            <w:r w:rsidRPr="001F4CEA">
              <w:rPr>
                <w:sz w:val="22"/>
                <w:szCs w:val="22"/>
              </w:rPr>
              <w:t>værker</w:t>
            </w:r>
          </w:p>
        </w:tc>
        <w:tc>
          <w:tcPr>
            <w:tcW w:w="4245" w:type="dxa"/>
          </w:tcPr>
          <w:p w:rsidR="003603A7" w:rsidRPr="001F4CEA" w:rsidRDefault="003603A7" w:rsidP="003603A7">
            <w:pPr>
              <w:rPr>
                <w:sz w:val="22"/>
                <w:szCs w:val="22"/>
              </w:rPr>
            </w:pPr>
            <w:r w:rsidRPr="001F4CEA">
              <w:rPr>
                <w:sz w:val="22"/>
                <w:szCs w:val="22"/>
              </w:rPr>
              <w:t>På side 6 i skemaet: Stigningen i gasafgiften pr. 1. februar 2013 § 1, stk. 2, er stigningen udelukkende af fiskal karakter, da forudsæ</w:t>
            </w:r>
            <w:r w:rsidRPr="001F4CEA">
              <w:rPr>
                <w:sz w:val="22"/>
                <w:szCs w:val="22"/>
              </w:rPr>
              <w:t>t</w:t>
            </w:r>
            <w:r w:rsidRPr="001F4CEA">
              <w:rPr>
                <w:sz w:val="22"/>
                <w:szCs w:val="22"/>
              </w:rPr>
              <w:t>ningsskrivelsen forpligter decentrale kraf</w:t>
            </w:r>
            <w:r w:rsidRPr="001F4CEA">
              <w:rPr>
                <w:sz w:val="22"/>
                <w:szCs w:val="22"/>
              </w:rPr>
              <w:t>t</w:t>
            </w:r>
            <w:r w:rsidRPr="001F4CEA">
              <w:rPr>
                <w:sz w:val="22"/>
                <w:szCs w:val="22"/>
              </w:rPr>
              <w:t>varmeværker til at anvende naturgas og har derfor ikke nogen adfærdsregulering.</w:t>
            </w:r>
          </w:p>
          <w:p w:rsidR="003603A7" w:rsidRPr="001F4CEA" w:rsidRDefault="003603A7" w:rsidP="003603A7">
            <w:pPr>
              <w:rPr>
                <w:sz w:val="22"/>
                <w:szCs w:val="22"/>
              </w:rPr>
            </w:pPr>
            <w:r w:rsidRPr="001F4CEA">
              <w:rPr>
                <w:sz w:val="22"/>
                <w:szCs w:val="22"/>
              </w:rPr>
              <w:t>Afgiftsstigningen har yderligere den ulempe, at gasfyret decentral kraftvarme mister yde</w:t>
            </w:r>
            <w:r w:rsidRPr="001F4CEA">
              <w:rPr>
                <w:sz w:val="22"/>
                <w:szCs w:val="22"/>
              </w:rPr>
              <w:t>r</w:t>
            </w:r>
            <w:r w:rsidRPr="001F4CEA">
              <w:rPr>
                <w:sz w:val="22"/>
                <w:szCs w:val="22"/>
              </w:rPr>
              <w:t>ligere konkurrenceevne overfor kondenspr</w:t>
            </w:r>
            <w:r w:rsidRPr="001F4CEA">
              <w:rPr>
                <w:sz w:val="22"/>
                <w:szCs w:val="22"/>
              </w:rPr>
              <w:t>o</w:t>
            </w:r>
            <w:r w:rsidRPr="001F4CEA">
              <w:rPr>
                <w:sz w:val="22"/>
                <w:szCs w:val="22"/>
              </w:rPr>
              <w:t>duktion, hvilket formindsker samproduktion af el og varme.</w:t>
            </w:r>
          </w:p>
          <w:p w:rsidR="003603A7" w:rsidRPr="001F4CEA" w:rsidRDefault="003603A7" w:rsidP="003603A7">
            <w:pPr>
              <w:rPr>
                <w:sz w:val="22"/>
                <w:szCs w:val="22"/>
              </w:rPr>
            </w:pPr>
            <w:r w:rsidRPr="001F4CEA">
              <w:rPr>
                <w:sz w:val="22"/>
                <w:szCs w:val="22"/>
              </w:rPr>
              <w:t>Afgiftsstigningen bevirker også, at kollektiv varme/kraftvarme mister konkurrenceevne overfor individuelle opvarmningsformer.</w:t>
            </w:r>
          </w:p>
          <w:p w:rsidR="003603A7" w:rsidRPr="001F4CEA" w:rsidRDefault="003603A7" w:rsidP="003603A7">
            <w:pPr>
              <w:rPr>
                <w:sz w:val="22"/>
                <w:szCs w:val="22"/>
              </w:rPr>
            </w:pPr>
            <w:r w:rsidRPr="001F4CEA">
              <w:rPr>
                <w:sz w:val="22"/>
                <w:szCs w:val="22"/>
              </w:rPr>
              <w:t>Det er meget uhensigtsmæssigt, at afgiften lægges på det indfyrede på værket og ikke på det målte hos forbrugerne.</w:t>
            </w:r>
          </w:p>
          <w:p w:rsidR="00FC7C92" w:rsidRPr="001F4CEA" w:rsidRDefault="003603A7" w:rsidP="003603A7">
            <w:pPr>
              <w:rPr>
                <w:sz w:val="22"/>
                <w:szCs w:val="22"/>
              </w:rPr>
            </w:pPr>
            <w:r w:rsidRPr="001F4CEA">
              <w:rPr>
                <w:sz w:val="22"/>
                <w:szCs w:val="22"/>
              </w:rPr>
              <w:t xml:space="preserve">Omkring </w:t>
            </w:r>
            <w:r w:rsidRPr="001F4CEA">
              <w:rPr>
                <w:i/>
                <w:sz w:val="22"/>
                <w:szCs w:val="22"/>
              </w:rPr>
              <w:t>Solcelleaftalen</w:t>
            </w:r>
            <w:r w:rsidRPr="001F4CEA">
              <w:rPr>
                <w:sz w:val="22"/>
                <w:szCs w:val="22"/>
              </w:rPr>
              <w:t xml:space="preserve"> er der nederst på side 19 anført, at individuelle solcelleanlæg skal finansieres via den kollektive fors</w:t>
            </w:r>
            <w:r w:rsidRPr="001F4CEA">
              <w:rPr>
                <w:sz w:val="22"/>
                <w:szCs w:val="22"/>
              </w:rPr>
              <w:t>y</w:t>
            </w:r>
            <w:r w:rsidRPr="001F4CEA">
              <w:rPr>
                <w:sz w:val="22"/>
                <w:szCs w:val="22"/>
              </w:rPr>
              <w:t>ningssikkerhedsafgift og fossile afgifter, hvilket virker helt urimelig og vanskeliggør kollektiv forsyning i konkurrence med ind</w:t>
            </w:r>
            <w:r w:rsidRPr="001F4CEA">
              <w:rPr>
                <w:sz w:val="22"/>
                <w:szCs w:val="22"/>
              </w:rPr>
              <w:t>i</w:t>
            </w:r>
            <w:r w:rsidRPr="001F4CEA">
              <w:rPr>
                <w:sz w:val="22"/>
                <w:szCs w:val="22"/>
              </w:rPr>
              <w:t>viduelle opvarmningsformer.</w:t>
            </w:r>
          </w:p>
        </w:tc>
        <w:tc>
          <w:tcPr>
            <w:tcW w:w="2991" w:type="dxa"/>
          </w:tcPr>
          <w:p w:rsidR="007C17B8" w:rsidRPr="001F4CEA" w:rsidRDefault="00B84A68" w:rsidP="00FE560B">
            <w:pPr>
              <w:rPr>
                <w:sz w:val="22"/>
                <w:szCs w:val="22"/>
              </w:rPr>
            </w:pPr>
            <w:r w:rsidRPr="001F4CEA">
              <w:rPr>
                <w:sz w:val="22"/>
                <w:szCs w:val="22"/>
              </w:rPr>
              <w:t>Forhøjelserne i energiafgifte</w:t>
            </w:r>
            <w:r w:rsidRPr="001F4CEA">
              <w:rPr>
                <w:sz w:val="22"/>
                <w:szCs w:val="22"/>
              </w:rPr>
              <w:t>r</w:t>
            </w:r>
            <w:r w:rsidRPr="001F4CEA">
              <w:rPr>
                <w:sz w:val="22"/>
                <w:szCs w:val="22"/>
              </w:rPr>
              <w:t>ne på de fossile brændstoffer har til formål at sikre finansi</w:t>
            </w:r>
            <w:r w:rsidRPr="001F4CEA">
              <w:rPr>
                <w:sz w:val="22"/>
                <w:szCs w:val="22"/>
              </w:rPr>
              <w:t>e</w:t>
            </w:r>
            <w:r w:rsidRPr="001F4CEA">
              <w:rPr>
                <w:sz w:val="22"/>
                <w:szCs w:val="22"/>
              </w:rPr>
              <w:t xml:space="preserve">ringen af </w:t>
            </w:r>
            <w:r w:rsidR="00FE560B" w:rsidRPr="001F4CEA">
              <w:rPr>
                <w:sz w:val="22"/>
                <w:szCs w:val="22"/>
              </w:rPr>
              <w:t xml:space="preserve">dele af </w:t>
            </w:r>
            <w:r w:rsidR="00FE560B" w:rsidRPr="001F4CEA">
              <w:rPr>
                <w:i/>
                <w:sz w:val="22"/>
                <w:szCs w:val="22"/>
              </w:rPr>
              <w:t>Energiaftalen 2012</w:t>
            </w:r>
            <w:r w:rsidR="00FE560B" w:rsidRPr="001F4CEA">
              <w:rPr>
                <w:sz w:val="22"/>
                <w:szCs w:val="22"/>
              </w:rPr>
              <w:t xml:space="preserve"> samt </w:t>
            </w:r>
            <w:r w:rsidR="00FE560B" w:rsidRPr="001F4CEA">
              <w:rPr>
                <w:i/>
                <w:sz w:val="22"/>
                <w:szCs w:val="22"/>
              </w:rPr>
              <w:t>Solcelleaftalen</w:t>
            </w:r>
            <w:r w:rsidR="00FE560B" w:rsidRPr="001F4CEA">
              <w:rPr>
                <w:sz w:val="22"/>
                <w:szCs w:val="22"/>
              </w:rPr>
              <w:t xml:space="preserve">. </w:t>
            </w:r>
          </w:p>
          <w:p w:rsidR="00355007" w:rsidRDefault="00355007" w:rsidP="00355007">
            <w:pPr>
              <w:rPr>
                <w:sz w:val="22"/>
                <w:szCs w:val="22"/>
              </w:rPr>
            </w:pPr>
          </w:p>
          <w:p w:rsidR="005578D4" w:rsidRPr="001F4CEA" w:rsidRDefault="005578D4" w:rsidP="00355007">
            <w:pPr>
              <w:rPr>
                <w:sz w:val="22"/>
                <w:szCs w:val="22"/>
              </w:rPr>
            </w:pPr>
            <w:r>
              <w:rPr>
                <w:sz w:val="22"/>
                <w:szCs w:val="22"/>
              </w:rPr>
              <w:t xml:space="preserve">Der henvises til kommentaren til Dansk Fjernvarme. </w:t>
            </w:r>
          </w:p>
        </w:tc>
      </w:tr>
      <w:tr w:rsidR="008A2546" w:rsidRPr="001F4CEA" w:rsidTr="00A56C38">
        <w:tc>
          <w:tcPr>
            <w:tcW w:w="1809" w:type="dxa"/>
          </w:tcPr>
          <w:p w:rsidR="008A2546" w:rsidRPr="001F4CEA" w:rsidRDefault="008A2546">
            <w:pPr>
              <w:rPr>
                <w:sz w:val="22"/>
                <w:szCs w:val="22"/>
              </w:rPr>
            </w:pPr>
            <w:r w:rsidRPr="001F4CEA">
              <w:rPr>
                <w:sz w:val="22"/>
                <w:szCs w:val="22"/>
              </w:rPr>
              <w:t>Foreningen for Slutbrugere af Energi (FSE)</w:t>
            </w:r>
          </w:p>
        </w:tc>
        <w:tc>
          <w:tcPr>
            <w:tcW w:w="4245" w:type="dxa"/>
          </w:tcPr>
          <w:p w:rsidR="008A2546" w:rsidRPr="001F4CEA" w:rsidRDefault="008A2546" w:rsidP="003603A7">
            <w:pPr>
              <w:rPr>
                <w:sz w:val="22"/>
                <w:szCs w:val="22"/>
              </w:rPr>
            </w:pPr>
            <w:r w:rsidRPr="001F4CEA">
              <w:rPr>
                <w:sz w:val="22"/>
                <w:szCs w:val="22"/>
              </w:rPr>
              <w:t>FSE nævner, at forslaget angiveligt er o</w:t>
            </w:r>
            <w:r w:rsidRPr="001F4CEA">
              <w:rPr>
                <w:sz w:val="22"/>
                <w:szCs w:val="22"/>
              </w:rPr>
              <w:t>m</w:t>
            </w:r>
            <w:r w:rsidRPr="001F4CEA">
              <w:rPr>
                <w:sz w:val="22"/>
                <w:szCs w:val="22"/>
              </w:rPr>
              <w:t>kostningsneutralt for erhvervslivet som he</w:t>
            </w:r>
            <w:r w:rsidRPr="001F4CEA">
              <w:rPr>
                <w:sz w:val="22"/>
                <w:szCs w:val="22"/>
              </w:rPr>
              <w:t>l</w:t>
            </w:r>
            <w:r w:rsidRPr="001F4CEA">
              <w:rPr>
                <w:sz w:val="22"/>
                <w:szCs w:val="22"/>
              </w:rPr>
              <w:t xml:space="preserve">hed, med vil dog medføre stigninger for visse virksomheder. </w:t>
            </w:r>
          </w:p>
          <w:p w:rsidR="008A2546" w:rsidRPr="001F4CEA" w:rsidRDefault="008A2546" w:rsidP="003603A7">
            <w:pPr>
              <w:rPr>
                <w:sz w:val="22"/>
                <w:szCs w:val="22"/>
              </w:rPr>
            </w:pPr>
            <w:r w:rsidRPr="001F4CEA">
              <w:rPr>
                <w:sz w:val="22"/>
                <w:szCs w:val="22"/>
              </w:rPr>
              <w:t>FSE finder det generelt betænkeligt, at man</w:t>
            </w:r>
            <w:r w:rsidRPr="001F4CEA">
              <w:rPr>
                <w:sz w:val="22"/>
                <w:szCs w:val="22"/>
              </w:rPr>
              <w:t>g</w:t>
            </w:r>
            <w:r w:rsidRPr="001F4CEA">
              <w:rPr>
                <w:sz w:val="22"/>
                <w:szCs w:val="22"/>
              </w:rPr>
              <w:t>lende provenu på et område (her solcelleor</w:t>
            </w:r>
            <w:r w:rsidRPr="001F4CEA">
              <w:rPr>
                <w:sz w:val="22"/>
                <w:szCs w:val="22"/>
              </w:rPr>
              <w:t>d</w:t>
            </w:r>
            <w:r w:rsidRPr="001F4CEA">
              <w:rPr>
                <w:sz w:val="22"/>
                <w:szCs w:val="22"/>
              </w:rPr>
              <w:t>ningen) skal finansieres ved indførelse af nye energiafgifter.</w:t>
            </w:r>
          </w:p>
          <w:p w:rsidR="008A2546" w:rsidRPr="001F4CEA" w:rsidRDefault="008A2546" w:rsidP="003603A7">
            <w:pPr>
              <w:rPr>
                <w:sz w:val="22"/>
                <w:szCs w:val="22"/>
              </w:rPr>
            </w:pPr>
            <w:r w:rsidRPr="001F4CEA">
              <w:rPr>
                <w:sz w:val="22"/>
                <w:szCs w:val="22"/>
              </w:rPr>
              <w:t>Danske virksomheder har gennemført bet</w:t>
            </w:r>
            <w:r w:rsidRPr="001F4CEA">
              <w:rPr>
                <w:sz w:val="22"/>
                <w:szCs w:val="22"/>
              </w:rPr>
              <w:t>y</w:t>
            </w:r>
            <w:r w:rsidRPr="001F4CEA">
              <w:rPr>
                <w:sz w:val="22"/>
                <w:szCs w:val="22"/>
              </w:rPr>
              <w:t>delige effektiviseringer i energianvendelsen, men de konkurrencemæssige fordele heraf undermineres af forhøjelsen af eksisterende energiafgifter og indførelsen af nye.</w:t>
            </w:r>
          </w:p>
          <w:p w:rsidR="008A2546" w:rsidRPr="001F4CEA" w:rsidRDefault="008A2546" w:rsidP="003603A7">
            <w:pPr>
              <w:rPr>
                <w:sz w:val="22"/>
                <w:szCs w:val="22"/>
              </w:rPr>
            </w:pPr>
            <w:r w:rsidRPr="001F4CEA">
              <w:rPr>
                <w:sz w:val="22"/>
                <w:szCs w:val="22"/>
              </w:rPr>
              <w:t>Forslaget indebærer en forhøjelse af afgiften på overskudsvarme. FSE finder det beklag</w:t>
            </w:r>
            <w:r w:rsidRPr="001F4CEA">
              <w:rPr>
                <w:sz w:val="22"/>
                <w:szCs w:val="22"/>
              </w:rPr>
              <w:t>e</w:t>
            </w:r>
            <w:r w:rsidRPr="001F4CEA">
              <w:rPr>
                <w:sz w:val="22"/>
                <w:szCs w:val="22"/>
              </w:rPr>
              <w:t>ligt, at incitamentet til at udnytte overskud</w:t>
            </w:r>
            <w:r w:rsidRPr="001F4CEA">
              <w:rPr>
                <w:sz w:val="22"/>
                <w:szCs w:val="22"/>
              </w:rPr>
              <w:t>s</w:t>
            </w:r>
            <w:r w:rsidRPr="001F4CEA">
              <w:rPr>
                <w:sz w:val="22"/>
                <w:szCs w:val="22"/>
              </w:rPr>
              <w:t xml:space="preserve">varme fra virksomhederne på denne måde yderligere reduceres. </w:t>
            </w:r>
          </w:p>
        </w:tc>
        <w:tc>
          <w:tcPr>
            <w:tcW w:w="2991" w:type="dxa"/>
          </w:tcPr>
          <w:p w:rsidR="008E2C5C" w:rsidRDefault="008E2C5C">
            <w:pPr>
              <w:rPr>
                <w:sz w:val="22"/>
                <w:szCs w:val="22"/>
              </w:rPr>
            </w:pPr>
          </w:p>
          <w:p w:rsidR="008E2C5C" w:rsidRDefault="008E2C5C">
            <w:pPr>
              <w:rPr>
                <w:sz w:val="22"/>
                <w:szCs w:val="22"/>
              </w:rPr>
            </w:pPr>
          </w:p>
          <w:p w:rsidR="008E2C5C" w:rsidRDefault="008E2C5C">
            <w:pPr>
              <w:rPr>
                <w:sz w:val="22"/>
                <w:szCs w:val="22"/>
              </w:rPr>
            </w:pPr>
          </w:p>
          <w:p w:rsidR="008A2546" w:rsidRDefault="008E2C5C">
            <w:pPr>
              <w:rPr>
                <w:sz w:val="22"/>
                <w:szCs w:val="22"/>
              </w:rPr>
            </w:pPr>
            <w:r w:rsidRPr="008E2C5C">
              <w:rPr>
                <w:sz w:val="22"/>
                <w:szCs w:val="22"/>
              </w:rPr>
              <w:t xml:space="preserve">Som følge af både </w:t>
            </w:r>
            <w:r w:rsidRPr="005578D4">
              <w:rPr>
                <w:i/>
                <w:sz w:val="22"/>
                <w:szCs w:val="22"/>
              </w:rPr>
              <w:t>Energiaft</w:t>
            </w:r>
            <w:r w:rsidRPr="005578D4">
              <w:rPr>
                <w:i/>
                <w:sz w:val="22"/>
                <w:szCs w:val="22"/>
              </w:rPr>
              <w:t>a</w:t>
            </w:r>
            <w:r w:rsidRPr="005578D4">
              <w:rPr>
                <w:i/>
                <w:sz w:val="22"/>
                <w:szCs w:val="22"/>
              </w:rPr>
              <w:t xml:space="preserve">len 2012 </w:t>
            </w:r>
            <w:r w:rsidRPr="008E2C5C">
              <w:rPr>
                <w:sz w:val="22"/>
                <w:szCs w:val="22"/>
              </w:rPr>
              <w:t xml:space="preserve">og </w:t>
            </w:r>
            <w:r w:rsidRPr="005578D4">
              <w:rPr>
                <w:i/>
                <w:sz w:val="22"/>
                <w:szCs w:val="22"/>
              </w:rPr>
              <w:t>Solcelleaftalen</w:t>
            </w:r>
            <w:r w:rsidRPr="008E2C5C">
              <w:rPr>
                <w:sz w:val="22"/>
                <w:szCs w:val="22"/>
              </w:rPr>
              <w:t xml:space="preserve"> f</w:t>
            </w:r>
            <w:r w:rsidRPr="008E2C5C">
              <w:rPr>
                <w:sz w:val="22"/>
                <w:szCs w:val="22"/>
              </w:rPr>
              <w:t>i</w:t>
            </w:r>
            <w:r w:rsidRPr="008E2C5C">
              <w:rPr>
                <w:sz w:val="22"/>
                <w:szCs w:val="22"/>
              </w:rPr>
              <w:t>nansierer forsyningssikke</w:t>
            </w:r>
            <w:r w:rsidRPr="008E2C5C">
              <w:rPr>
                <w:sz w:val="22"/>
                <w:szCs w:val="22"/>
              </w:rPr>
              <w:t>r</w:t>
            </w:r>
            <w:r w:rsidRPr="008E2C5C">
              <w:rPr>
                <w:sz w:val="22"/>
                <w:szCs w:val="22"/>
              </w:rPr>
              <w:t>hedsafgiften et statsligt prov</w:t>
            </w:r>
            <w:r w:rsidRPr="008E2C5C">
              <w:rPr>
                <w:sz w:val="22"/>
                <w:szCs w:val="22"/>
              </w:rPr>
              <w:t>e</w:t>
            </w:r>
            <w:r w:rsidRPr="008E2C5C">
              <w:rPr>
                <w:sz w:val="22"/>
                <w:szCs w:val="22"/>
              </w:rPr>
              <w:t>nutab i forbindelse med den grønne omstilling af den da</w:t>
            </w:r>
            <w:r w:rsidRPr="008E2C5C">
              <w:rPr>
                <w:sz w:val="22"/>
                <w:szCs w:val="22"/>
              </w:rPr>
              <w:t>n</w:t>
            </w:r>
            <w:r w:rsidRPr="008E2C5C">
              <w:rPr>
                <w:sz w:val="22"/>
                <w:szCs w:val="22"/>
              </w:rPr>
              <w:t xml:space="preserve">ske energisektor.  </w:t>
            </w:r>
          </w:p>
          <w:p w:rsidR="008E2C5C" w:rsidRDefault="008E2C5C">
            <w:pPr>
              <w:rPr>
                <w:sz w:val="22"/>
                <w:szCs w:val="22"/>
              </w:rPr>
            </w:pPr>
          </w:p>
          <w:p w:rsidR="008E2C5C" w:rsidRPr="001F4CEA" w:rsidRDefault="008E2C5C">
            <w:pPr>
              <w:rPr>
                <w:sz w:val="22"/>
                <w:szCs w:val="22"/>
              </w:rPr>
            </w:pPr>
            <w:r>
              <w:rPr>
                <w:sz w:val="22"/>
                <w:szCs w:val="22"/>
              </w:rPr>
              <w:t>Der henvises til kommentaren til DI.</w:t>
            </w:r>
          </w:p>
        </w:tc>
      </w:tr>
      <w:tr w:rsidR="00994EB9" w:rsidRPr="001F4CEA" w:rsidTr="00A56C38">
        <w:tc>
          <w:tcPr>
            <w:tcW w:w="1809" w:type="dxa"/>
          </w:tcPr>
          <w:p w:rsidR="00994EB9" w:rsidRPr="001F4CEA" w:rsidRDefault="00994EB9">
            <w:pPr>
              <w:rPr>
                <w:sz w:val="22"/>
                <w:szCs w:val="22"/>
              </w:rPr>
            </w:pPr>
            <w:r>
              <w:rPr>
                <w:sz w:val="22"/>
                <w:szCs w:val="22"/>
              </w:rPr>
              <w:t>Kommunernes Landsforening (KL)</w:t>
            </w:r>
          </w:p>
        </w:tc>
        <w:tc>
          <w:tcPr>
            <w:tcW w:w="4245" w:type="dxa"/>
          </w:tcPr>
          <w:p w:rsidR="00994EB9" w:rsidRPr="00994EB9" w:rsidRDefault="00994EB9" w:rsidP="00994EB9">
            <w:pPr>
              <w:rPr>
                <w:sz w:val="22"/>
                <w:szCs w:val="22"/>
              </w:rPr>
            </w:pPr>
            <w:r w:rsidRPr="00994EB9">
              <w:rPr>
                <w:sz w:val="22"/>
                <w:szCs w:val="22"/>
              </w:rPr>
              <w:t>Som nævnt i bemærkningerne til lovforslaget er hensigten med loven at indføre en fors</w:t>
            </w:r>
            <w:r w:rsidRPr="00994EB9">
              <w:rPr>
                <w:sz w:val="22"/>
                <w:szCs w:val="22"/>
              </w:rPr>
              <w:t>y</w:t>
            </w:r>
            <w:r w:rsidRPr="00994EB9">
              <w:rPr>
                <w:sz w:val="22"/>
                <w:szCs w:val="22"/>
              </w:rPr>
              <w:t>ningssikkerhedsafgift på al rumvarme. Det nævnes desuden, at forsyningssikkerhedsa</w:t>
            </w:r>
            <w:r w:rsidRPr="00994EB9">
              <w:rPr>
                <w:sz w:val="22"/>
                <w:szCs w:val="22"/>
              </w:rPr>
              <w:t>f</w:t>
            </w:r>
            <w:r w:rsidRPr="00994EB9">
              <w:rPr>
                <w:sz w:val="22"/>
                <w:szCs w:val="22"/>
              </w:rPr>
              <w:t>giften skal medvirke til finansiering af en lempelse af energiafgifterne på el og bræn</w:t>
            </w:r>
            <w:r w:rsidRPr="00994EB9">
              <w:rPr>
                <w:sz w:val="22"/>
                <w:szCs w:val="22"/>
              </w:rPr>
              <w:t>d</w:t>
            </w:r>
            <w:r w:rsidRPr="00994EB9">
              <w:rPr>
                <w:sz w:val="22"/>
                <w:szCs w:val="22"/>
              </w:rPr>
              <w:t>sel til proces med henblik på at afskærme det private erhvervsliv fra afgiftsfinansieringen. Det kan derfor undre, at lovforslaget omfatter bygas, der primært anven</w:t>
            </w:r>
            <w:r>
              <w:rPr>
                <w:sz w:val="22"/>
                <w:szCs w:val="22"/>
              </w:rPr>
              <w:t xml:space="preserve">des til proces- og kogeformål. </w:t>
            </w:r>
          </w:p>
          <w:p w:rsidR="00994EB9" w:rsidRPr="00994EB9" w:rsidRDefault="00994EB9" w:rsidP="00994EB9">
            <w:pPr>
              <w:rPr>
                <w:sz w:val="22"/>
                <w:szCs w:val="22"/>
              </w:rPr>
            </w:pPr>
            <w:r w:rsidRPr="00994EB9">
              <w:rPr>
                <w:sz w:val="22"/>
                <w:szCs w:val="22"/>
              </w:rPr>
              <w:t xml:space="preserve">Eksempelvis er der ud af Aalborg Forsyning, Gas’ 9.400 bygaskunder kun 8 kunder, der anvender bygas til rumvarme, hvoraf flere er erhvervsvirksomheder, der også anvender bygas til proces- eller kogeformål. </w:t>
            </w:r>
          </w:p>
          <w:p w:rsidR="00994EB9" w:rsidRPr="00994EB9" w:rsidRDefault="00994EB9" w:rsidP="00994EB9">
            <w:pPr>
              <w:rPr>
                <w:sz w:val="22"/>
                <w:szCs w:val="22"/>
              </w:rPr>
            </w:pPr>
            <w:r w:rsidRPr="00994EB9">
              <w:rPr>
                <w:sz w:val="22"/>
                <w:szCs w:val="22"/>
              </w:rPr>
              <w:t>Omkring 80 % af den bygas</w:t>
            </w:r>
            <w:r w:rsidR="00267DFB">
              <w:rPr>
                <w:sz w:val="22"/>
                <w:szCs w:val="22"/>
              </w:rPr>
              <w:t>,</w:t>
            </w:r>
            <w:r w:rsidRPr="00994EB9">
              <w:rPr>
                <w:sz w:val="22"/>
                <w:szCs w:val="22"/>
              </w:rPr>
              <w:t xml:space="preserve"> som Aalborg Forsyning, Gas i 2011 leverede, var til e</w:t>
            </w:r>
            <w:r w:rsidRPr="00994EB9">
              <w:rPr>
                <w:sz w:val="22"/>
                <w:szCs w:val="22"/>
              </w:rPr>
              <w:t>r</w:t>
            </w:r>
            <w:r w:rsidRPr="00994EB9">
              <w:rPr>
                <w:sz w:val="22"/>
                <w:szCs w:val="22"/>
              </w:rPr>
              <w:t>hvervskunder, som eksempelvis anvender bygassen til kogeformål i restaurationskø</w:t>
            </w:r>
            <w:r w:rsidRPr="00994EB9">
              <w:rPr>
                <w:sz w:val="22"/>
                <w:szCs w:val="22"/>
              </w:rPr>
              <w:t>k</w:t>
            </w:r>
            <w:r w:rsidRPr="00994EB9">
              <w:rPr>
                <w:sz w:val="22"/>
                <w:szCs w:val="22"/>
              </w:rPr>
              <w:t>kener eller i gastørretumblere i erhvervsv</w:t>
            </w:r>
            <w:r w:rsidRPr="00994EB9">
              <w:rPr>
                <w:sz w:val="22"/>
                <w:szCs w:val="22"/>
              </w:rPr>
              <w:t>a</w:t>
            </w:r>
            <w:r>
              <w:rPr>
                <w:sz w:val="22"/>
                <w:szCs w:val="22"/>
              </w:rPr>
              <w:t xml:space="preserve">skerier. </w:t>
            </w:r>
          </w:p>
          <w:p w:rsidR="00994EB9" w:rsidRPr="00994EB9" w:rsidRDefault="00994EB9" w:rsidP="00994EB9">
            <w:pPr>
              <w:rPr>
                <w:sz w:val="22"/>
                <w:szCs w:val="22"/>
              </w:rPr>
            </w:pPr>
            <w:r w:rsidRPr="00994EB9">
              <w:rPr>
                <w:sz w:val="22"/>
                <w:szCs w:val="22"/>
              </w:rPr>
              <w:t>Med en forsyningssikkerhedsafgift på bygas rammer lovforslaget således det private e</w:t>
            </w:r>
            <w:r w:rsidRPr="00994EB9">
              <w:rPr>
                <w:sz w:val="22"/>
                <w:szCs w:val="22"/>
              </w:rPr>
              <w:t>r</w:t>
            </w:r>
            <w:r w:rsidRPr="00994EB9">
              <w:rPr>
                <w:sz w:val="22"/>
                <w:szCs w:val="22"/>
              </w:rPr>
              <w:t>hvervsliv, som selvsamme lovforslag lægger op til at ville afskærme fra afgiftsfinansieri</w:t>
            </w:r>
            <w:r w:rsidRPr="00994EB9">
              <w:rPr>
                <w:sz w:val="22"/>
                <w:szCs w:val="22"/>
              </w:rPr>
              <w:t>n</w:t>
            </w:r>
            <w:r w:rsidRPr="00994EB9">
              <w:rPr>
                <w:sz w:val="22"/>
                <w:szCs w:val="22"/>
              </w:rPr>
              <w:t>gen. Samtidig forrykker lovforslaget konku</w:t>
            </w:r>
            <w:r w:rsidRPr="00994EB9">
              <w:rPr>
                <w:sz w:val="22"/>
                <w:szCs w:val="22"/>
              </w:rPr>
              <w:t>r</w:t>
            </w:r>
            <w:r w:rsidRPr="00994EB9">
              <w:rPr>
                <w:sz w:val="22"/>
                <w:szCs w:val="22"/>
              </w:rPr>
              <w:t>renceforholdet mellem bygas og elektricitet. For bygas til procesformål vil det foreligge</w:t>
            </w:r>
            <w:r w:rsidRPr="00994EB9">
              <w:rPr>
                <w:sz w:val="22"/>
                <w:szCs w:val="22"/>
              </w:rPr>
              <w:t>n</w:t>
            </w:r>
            <w:r w:rsidRPr="00994EB9">
              <w:rPr>
                <w:sz w:val="22"/>
                <w:szCs w:val="22"/>
              </w:rPr>
              <w:t>de lovforslag medføre en voldsom konku</w:t>
            </w:r>
            <w:r w:rsidRPr="00994EB9">
              <w:rPr>
                <w:sz w:val="22"/>
                <w:szCs w:val="22"/>
              </w:rPr>
              <w:t>r</w:t>
            </w:r>
            <w:r w:rsidRPr="00994EB9">
              <w:rPr>
                <w:sz w:val="22"/>
                <w:szCs w:val="22"/>
              </w:rPr>
              <w:t>renceforvridning, idet der samtidig forudsæ</w:t>
            </w:r>
            <w:r w:rsidRPr="00994EB9">
              <w:rPr>
                <w:sz w:val="22"/>
                <w:szCs w:val="22"/>
              </w:rPr>
              <w:t>t</w:t>
            </w:r>
            <w:r w:rsidRPr="00994EB9">
              <w:rPr>
                <w:sz w:val="22"/>
                <w:szCs w:val="22"/>
              </w:rPr>
              <w:t>tes en lempelse af energiafgifterne</w:t>
            </w:r>
            <w:r>
              <w:rPr>
                <w:sz w:val="22"/>
                <w:szCs w:val="22"/>
              </w:rPr>
              <w:t xml:space="preserve"> på el og brændsel til proces. </w:t>
            </w:r>
          </w:p>
          <w:p w:rsidR="00994EB9" w:rsidRPr="00994EB9" w:rsidRDefault="00994EB9" w:rsidP="00994EB9">
            <w:pPr>
              <w:rPr>
                <w:sz w:val="22"/>
                <w:szCs w:val="22"/>
              </w:rPr>
            </w:pPr>
            <w:r w:rsidRPr="00994EB9">
              <w:rPr>
                <w:sz w:val="22"/>
                <w:szCs w:val="22"/>
              </w:rPr>
              <w:t>En svækkelse af konkurrenceevnen for bygas i forhold til elektricitet vil medføre, at byga</w:t>
            </w:r>
            <w:r w:rsidRPr="00994EB9">
              <w:rPr>
                <w:sz w:val="22"/>
                <w:szCs w:val="22"/>
              </w:rPr>
              <w:t>s</w:t>
            </w:r>
            <w:r w:rsidRPr="00994EB9">
              <w:rPr>
                <w:sz w:val="22"/>
                <w:szCs w:val="22"/>
              </w:rPr>
              <w:t>sens nuværende fordele og fremtidige muli</w:t>
            </w:r>
            <w:r w:rsidRPr="00994EB9">
              <w:rPr>
                <w:sz w:val="22"/>
                <w:szCs w:val="22"/>
              </w:rPr>
              <w:t>g</w:t>
            </w:r>
            <w:r w:rsidRPr="00994EB9">
              <w:rPr>
                <w:sz w:val="22"/>
                <w:szCs w:val="22"/>
              </w:rPr>
              <w:t>heder for at distribuere grøn gas ikke vil bl</w:t>
            </w:r>
            <w:r w:rsidRPr="00994EB9">
              <w:rPr>
                <w:sz w:val="22"/>
                <w:szCs w:val="22"/>
              </w:rPr>
              <w:t>i</w:t>
            </w:r>
            <w:r w:rsidRPr="00994EB9">
              <w:rPr>
                <w:sz w:val="22"/>
                <w:szCs w:val="22"/>
              </w:rPr>
              <w:t>ve udnyttet som følge af, at kunderne over tid konverterer til elektricitet eller</w:t>
            </w:r>
            <w:r>
              <w:rPr>
                <w:sz w:val="22"/>
                <w:szCs w:val="22"/>
              </w:rPr>
              <w:t xml:space="preserve"> andre billigere energikilder. </w:t>
            </w:r>
          </w:p>
          <w:p w:rsidR="00994EB9" w:rsidRPr="00994EB9" w:rsidRDefault="00994EB9" w:rsidP="00994EB9">
            <w:pPr>
              <w:rPr>
                <w:sz w:val="22"/>
                <w:szCs w:val="22"/>
              </w:rPr>
            </w:pPr>
            <w:r w:rsidRPr="00994EB9">
              <w:rPr>
                <w:sz w:val="22"/>
                <w:szCs w:val="22"/>
              </w:rPr>
              <w:t>Bygas skal derfor nødvendigvis af både kl</w:t>
            </w:r>
            <w:r w:rsidRPr="00994EB9">
              <w:rPr>
                <w:sz w:val="22"/>
                <w:szCs w:val="22"/>
              </w:rPr>
              <w:t>i</w:t>
            </w:r>
            <w:r w:rsidRPr="00994EB9">
              <w:rPr>
                <w:sz w:val="22"/>
                <w:szCs w:val="22"/>
              </w:rPr>
              <w:t>ma- og konkurrencemæssige hensyn sidesti</w:t>
            </w:r>
            <w:r w:rsidRPr="00994EB9">
              <w:rPr>
                <w:sz w:val="22"/>
                <w:szCs w:val="22"/>
              </w:rPr>
              <w:t>l</w:t>
            </w:r>
            <w:r w:rsidRPr="00994EB9">
              <w:rPr>
                <w:sz w:val="22"/>
                <w:szCs w:val="22"/>
              </w:rPr>
              <w:t>les med elektricitet og brændsel til proces i stedet for at blive kategoriseret som bygas</w:t>
            </w:r>
            <w:r>
              <w:rPr>
                <w:sz w:val="22"/>
                <w:szCs w:val="22"/>
              </w:rPr>
              <w:t xml:space="preserve"> som et brændsel til rumvarme. </w:t>
            </w:r>
          </w:p>
          <w:p w:rsidR="00994EB9" w:rsidRPr="001F4CEA" w:rsidRDefault="00994EB9" w:rsidP="00994EB9">
            <w:pPr>
              <w:rPr>
                <w:sz w:val="22"/>
                <w:szCs w:val="22"/>
              </w:rPr>
            </w:pPr>
            <w:r w:rsidRPr="00994EB9">
              <w:rPr>
                <w:sz w:val="22"/>
                <w:szCs w:val="22"/>
              </w:rPr>
              <w:t>Loven forudsættes at træde i kraft den 1. f</w:t>
            </w:r>
            <w:r w:rsidRPr="00994EB9">
              <w:rPr>
                <w:sz w:val="22"/>
                <w:szCs w:val="22"/>
              </w:rPr>
              <w:t>e</w:t>
            </w:r>
            <w:r w:rsidRPr="00994EB9">
              <w:rPr>
                <w:sz w:val="22"/>
                <w:szCs w:val="22"/>
              </w:rPr>
              <w:t xml:space="preserve">bruar 2013 med henvisning til dækning af provenutab i forbindelse med </w:t>
            </w:r>
            <w:r w:rsidRPr="009B36AC">
              <w:rPr>
                <w:i/>
                <w:sz w:val="22"/>
                <w:szCs w:val="22"/>
              </w:rPr>
              <w:t>Solcelleaftalen</w:t>
            </w:r>
            <w:r w:rsidRPr="00994EB9">
              <w:rPr>
                <w:sz w:val="22"/>
                <w:szCs w:val="22"/>
              </w:rPr>
              <w:t>. Af hensyn til energiselskabernes takstfastsæ</w:t>
            </w:r>
            <w:r w:rsidRPr="00994EB9">
              <w:rPr>
                <w:sz w:val="22"/>
                <w:szCs w:val="22"/>
              </w:rPr>
              <w:t>t</w:t>
            </w:r>
            <w:r w:rsidRPr="00994EB9">
              <w:rPr>
                <w:sz w:val="22"/>
                <w:szCs w:val="22"/>
              </w:rPr>
              <w:t>telse og budgetlægning er det efter vores o</w:t>
            </w:r>
            <w:r w:rsidRPr="00994EB9">
              <w:rPr>
                <w:sz w:val="22"/>
                <w:szCs w:val="22"/>
              </w:rPr>
              <w:t>p</w:t>
            </w:r>
            <w:r w:rsidRPr="00994EB9">
              <w:rPr>
                <w:sz w:val="22"/>
                <w:szCs w:val="22"/>
              </w:rPr>
              <w:t>fattelse helt urimeligt at udsende et lovfor</w:t>
            </w:r>
            <w:r w:rsidRPr="00994EB9">
              <w:rPr>
                <w:sz w:val="22"/>
                <w:szCs w:val="22"/>
              </w:rPr>
              <w:t>s</w:t>
            </w:r>
            <w:r w:rsidRPr="00994EB9">
              <w:rPr>
                <w:sz w:val="22"/>
                <w:szCs w:val="22"/>
              </w:rPr>
              <w:t>lag, der forventes at træde i kraft 1. februar 2013, i høring ultimo december 2012, spec</w:t>
            </w:r>
            <w:r w:rsidRPr="00994EB9">
              <w:rPr>
                <w:sz w:val="22"/>
                <w:szCs w:val="22"/>
              </w:rPr>
              <w:t>i</w:t>
            </w:r>
            <w:r w:rsidRPr="00994EB9">
              <w:rPr>
                <w:sz w:val="22"/>
                <w:szCs w:val="22"/>
              </w:rPr>
              <w:t>elt når de hidtidige udmeldinger har været, at afgiftsstigningerne skulle træde i kraft medio 2013.</w:t>
            </w:r>
          </w:p>
        </w:tc>
        <w:tc>
          <w:tcPr>
            <w:tcW w:w="2991" w:type="dxa"/>
          </w:tcPr>
          <w:p w:rsidR="009B4D0D" w:rsidRDefault="009B4D0D" w:rsidP="00594F3B">
            <w:pPr>
              <w:rPr>
                <w:sz w:val="22"/>
                <w:szCs w:val="22"/>
              </w:rPr>
            </w:pPr>
          </w:p>
          <w:p w:rsidR="009B4D0D" w:rsidRDefault="009B4D0D" w:rsidP="00594F3B">
            <w:pPr>
              <w:rPr>
                <w:sz w:val="22"/>
                <w:szCs w:val="22"/>
              </w:rPr>
            </w:pPr>
          </w:p>
          <w:p w:rsidR="009B4D0D" w:rsidRDefault="009B4D0D" w:rsidP="00594F3B">
            <w:pPr>
              <w:rPr>
                <w:sz w:val="22"/>
                <w:szCs w:val="22"/>
              </w:rPr>
            </w:pPr>
          </w:p>
          <w:p w:rsidR="009B4D0D" w:rsidRDefault="009B4D0D" w:rsidP="00594F3B">
            <w:pPr>
              <w:rPr>
                <w:sz w:val="22"/>
                <w:szCs w:val="22"/>
              </w:rPr>
            </w:pPr>
          </w:p>
          <w:p w:rsidR="009B4D0D" w:rsidRDefault="009B4D0D" w:rsidP="00594F3B">
            <w:pPr>
              <w:rPr>
                <w:sz w:val="22"/>
                <w:szCs w:val="22"/>
              </w:rPr>
            </w:pPr>
          </w:p>
          <w:p w:rsidR="004C6091" w:rsidRDefault="004C6091" w:rsidP="00594F3B">
            <w:pPr>
              <w:rPr>
                <w:sz w:val="22"/>
                <w:szCs w:val="22"/>
              </w:rPr>
            </w:pPr>
            <w:r>
              <w:rPr>
                <w:sz w:val="22"/>
                <w:szCs w:val="22"/>
              </w:rPr>
              <w:t>Der henvises til kommentaren til EOF.</w:t>
            </w:r>
          </w:p>
          <w:p w:rsidR="005578D4" w:rsidRDefault="004C6091" w:rsidP="00594F3B">
            <w:pPr>
              <w:rPr>
                <w:sz w:val="22"/>
                <w:szCs w:val="22"/>
              </w:rPr>
            </w:pPr>
            <w:r>
              <w:rPr>
                <w:sz w:val="22"/>
                <w:szCs w:val="22"/>
              </w:rPr>
              <w:t>Lig smøreolie vil bygas være omfattet af begrebet rumva</w:t>
            </w:r>
            <w:r>
              <w:rPr>
                <w:sz w:val="22"/>
                <w:szCs w:val="22"/>
              </w:rPr>
              <w:t>r</w:t>
            </w:r>
            <w:r>
              <w:rPr>
                <w:sz w:val="22"/>
                <w:szCs w:val="22"/>
              </w:rPr>
              <w:t xml:space="preserve">me, såfremt det ikke </w:t>
            </w:r>
            <w:r w:rsidR="00205E01">
              <w:rPr>
                <w:sz w:val="22"/>
                <w:szCs w:val="22"/>
              </w:rPr>
              <w:t xml:space="preserve">er anvendt til procesformål. </w:t>
            </w:r>
          </w:p>
          <w:p w:rsidR="005578D4" w:rsidRDefault="005578D4" w:rsidP="00594F3B">
            <w:pPr>
              <w:rPr>
                <w:sz w:val="22"/>
                <w:szCs w:val="22"/>
              </w:rPr>
            </w:pPr>
          </w:p>
          <w:p w:rsidR="005578D4" w:rsidRDefault="005578D4" w:rsidP="00594F3B">
            <w:pPr>
              <w:rPr>
                <w:sz w:val="22"/>
                <w:szCs w:val="22"/>
              </w:rPr>
            </w:pPr>
          </w:p>
          <w:p w:rsidR="005578D4" w:rsidRDefault="005578D4" w:rsidP="00594F3B">
            <w:pPr>
              <w:rPr>
                <w:sz w:val="22"/>
                <w:szCs w:val="22"/>
              </w:rPr>
            </w:pPr>
          </w:p>
          <w:p w:rsidR="005578D4" w:rsidRDefault="005578D4" w:rsidP="00594F3B">
            <w:pPr>
              <w:rPr>
                <w:sz w:val="22"/>
                <w:szCs w:val="22"/>
              </w:rPr>
            </w:pPr>
          </w:p>
          <w:p w:rsidR="005578D4" w:rsidRDefault="005578D4" w:rsidP="00594F3B">
            <w:pPr>
              <w:rPr>
                <w:sz w:val="22"/>
                <w:szCs w:val="22"/>
              </w:rPr>
            </w:pPr>
          </w:p>
          <w:p w:rsidR="005578D4" w:rsidRDefault="005578D4" w:rsidP="00594F3B">
            <w:pPr>
              <w:rPr>
                <w:sz w:val="22"/>
                <w:szCs w:val="22"/>
              </w:rPr>
            </w:pPr>
          </w:p>
          <w:p w:rsidR="00205E01" w:rsidRDefault="00205E01" w:rsidP="00594F3B">
            <w:pPr>
              <w:rPr>
                <w:sz w:val="22"/>
                <w:szCs w:val="22"/>
              </w:rPr>
            </w:pPr>
          </w:p>
          <w:p w:rsidR="00205E01" w:rsidRDefault="00205E01" w:rsidP="00594F3B">
            <w:pPr>
              <w:rPr>
                <w:sz w:val="22"/>
                <w:szCs w:val="22"/>
              </w:rPr>
            </w:pPr>
          </w:p>
          <w:p w:rsidR="00205E01" w:rsidRDefault="00205E01" w:rsidP="00594F3B">
            <w:pPr>
              <w:rPr>
                <w:sz w:val="22"/>
                <w:szCs w:val="22"/>
              </w:rPr>
            </w:pPr>
          </w:p>
          <w:p w:rsidR="00205E01" w:rsidRDefault="00205E01" w:rsidP="00594F3B">
            <w:pPr>
              <w:rPr>
                <w:sz w:val="22"/>
                <w:szCs w:val="22"/>
              </w:rPr>
            </w:pPr>
          </w:p>
          <w:p w:rsidR="00205E01" w:rsidRDefault="00205E01" w:rsidP="00594F3B">
            <w:pPr>
              <w:rPr>
                <w:sz w:val="22"/>
                <w:szCs w:val="22"/>
              </w:rPr>
            </w:pPr>
          </w:p>
          <w:p w:rsidR="00205E01" w:rsidRDefault="00205E01" w:rsidP="00594F3B">
            <w:pPr>
              <w:rPr>
                <w:sz w:val="22"/>
                <w:szCs w:val="22"/>
              </w:rPr>
            </w:pPr>
          </w:p>
          <w:p w:rsidR="00205E01" w:rsidRDefault="00205E01" w:rsidP="00594F3B">
            <w:pPr>
              <w:rPr>
                <w:sz w:val="22"/>
                <w:szCs w:val="22"/>
              </w:rPr>
            </w:pPr>
          </w:p>
          <w:p w:rsidR="00205E01" w:rsidRDefault="00205E01" w:rsidP="00594F3B">
            <w:pPr>
              <w:rPr>
                <w:sz w:val="22"/>
                <w:szCs w:val="22"/>
              </w:rPr>
            </w:pPr>
          </w:p>
          <w:p w:rsidR="00205E01" w:rsidRDefault="00205E01" w:rsidP="00594F3B">
            <w:pPr>
              <w:rPr>
                <w:sz w:val="22"/>
                <w:szCs w:val="22"/>
              </w:rPr>
            </w:pPr>
          </w:p>
          <w:p w:rsidR="00205E01" w:rsidRDefault="00205E01" w:rsidP="00594F3B">
            <w:pPr>
              <w:rPr>
                <w:sz w:val="22"/>
                <w:szCs w:val="22"/>
              </w:rPr>
            </w:pPr>
          </w:p>
          <w:p w:rsidR="00205E01" w:rsidRDefault="00205E01" w:rsidP="00594F3B">
            <w:pPr>
              <w:rPr>
                <w:sz w:val="22"/>
                <w:szCs w:val="22"/>
              </w:rPr>
            </w:pPr>
          </w:p>
          <w:p w:rsidR="00205E01" w:rsidRDefault="00205E01" w:rsidP="00594F3B">
            <w:pPr>
              <w:rPr>
                <w:sz w:val="22"/>
                <w:szCs w:val="22"/>
              </w:rPr>
            </w:pPr>
          </w:p>
          <w:p w:rsidR="00205E01" w:rsidRDefault="00205E01" w:rsidP="00594F3B">
            <w:pPr>
              <w:rPr>
                <w:sz w:val="22"/>
                <w:szCs w:val="22"/>
              </w:rPr>
            </w:pPr>
          </w:p>
          <w:p w:rsidR="00205E01" w:rsidRDefault="00205E01" w:rsidP="00594F3B">
            <w:pPr>
              <w:rPr>
                <w:sz w:val="22"/>
                <w:szCs w:val="22"/>
              </w:rPr>
            </w:pPr>
          </w:p>
          <w:p w:rsidR="005578D4" w:rsidRPr="001F4CEA" w:rsidRDefault="005578D4" w:rsidP="00594F3B">
            <w:pPr>
              <w:rPr>
                <w:sz w:val="22"/>
                <w:szCs w:val="22"/>
              </w:rPr>
            </w:pPr>
            <w:r w:rsidRPr="005578D4">
              <w:rPr>
                <w:sz w:val="22"/>
                <w:szCs w:val="22"/>
              </w:rPr>
              <w:t>Finansieringen af Solcelleaft</w:t>
            </w:r>
            <w:r w:rsidRPr="005578D4">
              <w:rPr>
                <w:sz w:val="22"/>
                <w:szCs w:val="22"/>
              </w:rPr>
              <w:t>a</w:t>
            </w:r>
            <w:r w:rsidRPr="005578D4">
              <w:rPr>
                <w:sz w:val="22"/>
                <w:szCs w:val="22"/>
              </w:rPr>
              <w:t>len dækker perioden fra 2013-2020, og derfor har det været nødvendigt at fremrykke fre</w:t>
            </w:r>
            <w:r w:rsidRPr="005578D4">
              <w:rPr>
                <w:sz w:val="22"/>
                <w:szCs w:val="22"/>
              </w:rPr>
              <w:t>m</w:t>
            </w:r>
            <w:r w:rsidRPr="005578D4">
              <w:rPr>
                <w:sz w:val="22"/>
                <w:szCs w:val="22"/>
              </w:rPr>
              <w:t>sættelsen af dette lovforslag, da det dækker finansieringsb</w:t>
            </w:r>
            <w:r w:rsidRPr="005578D4">
              <w:rPr>
                <w:sz w:val="22"/>
                <w:szCs w:val="22"/>
              </w:rPr>
              <w:t>e</w:t>
            </w:r>
            <w:r w:rsidRPr="005578D4">
              <w:rPr>
                <w:sz w:val="22"/>
                <w:szCs w:val="22"/>
              </w:rPr>
              <w:t>hovet for 2013.</w:t>
            </w:r>
          </w:p>
        </w:tc>
      </w:tr>
      <w:tr w:rsidR="00E12A5D" w:rsidRPr="001F4CEA" w:rsidTr="00A56C38">
        <w:tc>
          <w:tcPr>
            <w:tcW w:w="1809" w:type="dxa"/>
          </w:tcPr>
          <w:p w:rsidR="00E12A5D" w:rsidRPr="001F4CEA" w:rsidRDefault="00FE0C79">
            <w:pPr>
              <w:rPr>
                <w:sz w:val="22"/>
                <w:szCs w:val="22"/>
              </w:rPr>
            </w:pPr>
            <w:r w:rsidRPr="001F4CEA">
              <w:rPr>
                <w:sz w:val="22"/>
                <w:szCs w:val="22"/>
              </w:rPr>
              <w:t>Københavns Energi (KE)</w:t>
            </w:r>
          </w:p>
        </w:tc>
        <w:tc>
          <w:tcPr>
            <w:tcW w:w="4245" w:type="dxa"/>
          </w:tcPr>
          <w:p w:rsidR="00E12A5D" w:rsidRPr="001F4CEA" w:rsidRDefault="00FE0C79">
            <w:pPr>
              <w:rPr>
                <w:sz w:val="22"/>
                <w:szCs w:val="22"/>
              </w:rPr>
            </w:pPr>
            <w:r w:rsidRPr="001F4CEA">
              <w:rPr>
                <w:sz w:val="22"/>
                <w:szCs w:val="22"/>
              </w:rPr>
              <w:t xml:space="preserve">KE nævner, at det fremgår af </w:t>
            </w:r>
            <w:r w:rsidRPr="009B36AC">
              <w:rPr>
                <w:i/>
                <w:sz w:val="22"/>
                <w:szCs w:val="22"/>
              </w:rPr>
              <w:t xml:space="preserve">Energiaftalen 2012, </w:t>
            </w:r>
            <w:r w:rsidRPr="001F4CEA">
              <w:rPr>
                <w:sz w:val="22"/>
                <w:szCs w:val="22"/>
              </w:rPr>
              <w:t>at ”Forsyningssikkerhedsafgift pålæ</w:t>
            </w:r>
            <w:r w:rsidRPr="001F4CEA">
              <w:rPr>
                <w:sz w:val="22"/>
                <w:szCs w:val="22"/>
              </w:rPr>
              <w:t>g</w:t>
            </w:r>
            <w:r w:rsidRPr="001F4CEA">
              <w:rPr>
                <w:sz w:val="22"/>
                <w:szCs w:val="22"/>
              </w:rPr>
              <w:t>ges al rumvarme”. Det undrer derfor, at lo</w:t>
            </w:r>
            <w:r w:rsidRPr="001F4CEA">
              <w:rPr>
                <w:sz w:val="22"/>
                <w:szCs w:val="22"/>
              </w:rPr>
              <w:t>v</w:t>
            </w:r>
            <w:r w:rsidRPr="001F4CEA">
              <w:rPr>
                <w:sz w:val="22"/>
                <w:szCs w:val="22"/>
              </w:rPr>
              <w:t>forslaget indebærer, at stort set alle deres 145.000 bygaskunder, som ikke bruger ga</w:t>
            </w:r>
            <w:r w:rsidRPr="001F4CEA">
              <w:rPr>
                <w:sz w:val="22"/>
                <w:szCs w:val="22"/>
              </w:rPr>
              <w:t>s</w:t>
            </w:r>
            <w:r w:rsidRPr="001F4CEA">
              <w:rPr>
                <w:sz w:val="22"/>
                <w:szCs w:val="22"/>
              </w:rPr>
              <w:t xml:space="preserve">sen til rumvarme, skal betale afgiften. </w:t>
            </w:r>
          </w:p>
          <w:p w:rsidR="00FE0C79" w:rsidRPr="001F4CEA" w:rsidRDefault="00FE0C79">
            <w:pPr>
              <w:rPr>
                <w:sz w:val="22"/>
                <w:szCs w:val="22"/>
              </w:rPr>
            </w:pPr>
            <w:r w:rsidRPr="001F4CEA">
              <w:rPr>
                <w:sz w:val="22"/>
                <w:szCs w:val="22"/>
              </w:rPr>
              <w:t>Når forsyningssikkerhedsafgiften effektueres gennem en forhøjelse af afgiften på naturgas- og bygas</w:t>
            </w:r>
            <w:r w:rsidR="00A018FC" w:rsidRPr="001F4CEA">
              <w:rPr>
                <w:sz w:val="22"/>
                <w:szCs w:val="22"/>
              </w:rPr>
              <w:t xml:space="preserve"> kommer alle naturgas- og byga</w:t>
            </w:r>
            <w:r w:rsidR="00A018FC" w:rsidRPr="001F4CEA">
              <w:rPr>
                <w:sz w:val="22"/>
                <w:szCs w:val="22"/>
              </w:rPr>
              <w:t>s</w:t>
            </w:r>
            <w:r w:rsidR="00A018FC" w:rsidRPr="001F4CEA">
              <w:rPr>
                <w:sz w:val="22"/>
                <w:szCs w:val="22"/>
              </w:rPr>
              <w:t>kunder til at betale afgiften og ikke kun de kunder, der bruger gassen til rumvarme.</w:t>
            </w:r>
          </w:p>
          <w:p w:rsidR="00A018FC" w:rsidRPr="001F4CEA" w:rsidRDefault="00A018FC">
            <w:pPr>
              <w:rPr>
                <w:sz w:val="22"/>
                <w:szCs w:val="22"/>
              </w:rPr>
            </w:pPr>
            <w:r w:rsidRPr="001F4CEA">
              <w:rPr>
                <w:sz w:val="22"/>
                <w:szCs w:val="22"/>
              </w:rPr>
              <w:t>KE mener, at det er forkert at betragte fo</w:t>
            </w:r>
            <w:r w:rsidRPr="001F4CEA">
              <w:rPr>
                <w:sz w:val="22"/>
                <w:szCs w:val="22"/>
              </w:rPr>
              <w:t>r</w:t>
            </w:r>
            <w:r w:rsidRPr="001F4CEA">
              <w:rPr>
                <w:sz w:val="22"/>
                <w:szCs w:val="22"/>
              </w:rPr>
              <w:t>brug af brændsler i energiafgiftslovene, som forbrug af brændsler anvendt til rumvarme. Kun ca. 0,7 pct. af deres bygaskunder anve</w:t>
            </w:r>
            <w:r w:rsidRPr="001F4CEA">
              <w:rPr>
                <w:sz w:val="22"/>
                <w:szCs w:val="22"/>
              </w:rPr>
              <w:t>n</w:t>
            </w:r>
            <w:r w:rsidRPr="001F4CEA">
              <w:rPr>
                <w:sz w:val="22"/>
                <w:szCs w:val="22"/>
              </w:rPr>
              <w:t>der gassen til rumvarme – resten anvender gassen til proces hos industri- og erhverv</w:t>
            </w:r>
            <w:r w:rsidRPr="001F4CEA">
              <w:rPr>
                <w:sz w:val="22"/>
                <w:szCs w:val="22"/>
              </w:rPr>
              <w:t>s</w:t>
            </w:r>
            <w:r w:rsidRPr="001F4CEA">
              <w:rPr>
                <w:sz w:val="22"/>
                <w:szCs w:val="22"/>
              </w:rPr>
              <w:t xml:space="preserve">kunder. </w:t>
            </w:r>
          </w:p>
          <w:p w:rsidR="00A018FC" w:rsidRPr="001F4CEA" w:rsidRDefault="00A018FC">
            <w:pPr>
              <w:rPr>
                <w:sz w:val="22"/>
                <w:szCs w:val="22"/>
              </w:rPr>
            </w:pPr>
            <w:r w:rsidRPr="001F4CEA">
              <w:rPr>
                <w:sz w:val="22"/>
                <w:szCs w:val="22"/>
              </w:rPr>
              <w:t>På den baggrund bør bygas og elektricitet sidestilles afgiftsmæssigt, da begge energ</w:t>
            </w:r>
            <w:r w:rsidRPr="001F4CEA">
              <w:rPr>
                <w:sz w:val="22"/>
                <w:szCs w:val="22"/>
              </w:rPr>
              <w:t>i</w:t>
            </w:r>
            <w:r w:rsidRPr="001F4CEA">
              <w:rPr>
                <w:sz w:val="22"/>
                <w:szCs w:val="22"/>
              </w:rPr>
              <w:t>former som udgangspunkt anvendes til pr</w:t>
            </w:r>
            <w:r w:rsidRPr="001F4CEA">
              <w:rPr>
                <w:sz w:val="22"/>
                <w:szCs w:val="22"/>
              </w:rPr>
              <w:t>o</w:t>
            </w:r>
            <w:r w:rsidRPr="001F4CEA">
              <w:rPr>
                <w:sz w:val="22"/>
                <w:szCs w:val="22"/>
              </w:rPr>
              <w:t>cesformål. Gasafgiften bør differentieres mellem naturgas og bygas, så afgiften på b</w:t>
            </w:r>
            <w:r w:rsidRPr="001F4CEA">
              <w:rPr>
                <w:sz w:val="22"/>
                <w:szCs w:val="22"/>
              </w:rPr>
              <w:t>y</w:t>
            </w:r>
            <w:r w:rsidRPr="001F4CEA">
              <w:rPr>
                <w:sz w:val="22"/>
                <w:szCs w:val="22"/>
              </w:rPr>
              <w:t xml:space="preserve">gas bliver mindre pr. energienhed. </w:t>
            </w:r>
          </w:p>
          <w:p w:rsidR="00A018FC" w:rsidRPr="001F4CEA" w:rsidRDefault="00A018FC">
            <w:pPr>
              <w:rPr>
                <w:sz w:val="22"/>
                <w:szCs w:val="22"/>
              </w:rPr>
            </w:pPr>
            <w:r w:rsidRPr="001F4CEA">
              <w:rPr>
                <w:sz w:val="22"/>
                <w:szCs w:val="22"/>
              </w:rPr>
              <w:t>I modsat fald vil der ske en ændring i ko</w:t>
            </w:r>
            <w:r w:rsidRPr="001F4CEA">
              <w:rPr>
                <w:sz w:val="22"/>
                <w:szCs w:val="22"/>
              </w:rPr>
              <w:t>n</w:t>
            </w:r>
            <w:r w:rsidRPr="001F4CEA">
              <w:rPr>
                <w:sz w:val="22"/>
                <w:szCs w:val="22"/>
              </w:rPr>
              <w:t>kurrenceforholdet mellem gas og elektricitet til elektricitetens fordel, da elektricitet efter lovforslaget ikke pålægges forsyningssikke</w:t>
            </w:r>
            <w:r w:rsidRPr="001F4CEA">
              <w:rPr>
                <w:sz w:val="22"/>
                <w:szCs w:val="22"/>
              </w:rPr>
              <w:t>r</w:t>
            </w:r>
            <w:r w:rsidRPr="001F4CEA">
              <w:rPr>
                <w:sz w:val="22"/>
                <w:szCs w:val="22"/>
              </w:rPr>
              <w:t xml:space="preserve">hedsafgiften. Gas forurener meget mindre end el og ændring af konkurrenceforholdet vil ikke tilskynde til øget anvendelse af gas i stedet for el. </w:t>
            </w:r>
          </w:p>
          <w:p w:rsidR="00FE0C79" w:rsidRPr="001F4CEA" w:rsidRDefault="00A018FC">
            <w:pPr>
              <w:rPr>
                <w:sz w:val="22"/>
                <w:szCs w:val="22"/>
              </w:rPr>
            </w:pPr>
            <w:r w:rsidRPr="001F4CEA">
              <w:rPr>
                <w:sz w:val="22"/>
                <w:szCs w:val="22"/>
              </w:rPr>
              <w:t>I København bliver bygassen endnu mere grøn i løbet af 2013, idet der tilsættes ca. 33 pct. biogas til bygassen, hvorved bygas ikke længere er et 100 pct. fossilt brændsel. Ti</w:t>
            </w:r>
            <w:r w:rsidRPr="001F4CEA">
              <w:rPr>
                <w:sz w:val="22"/>
                <w:szCs w:val="22"/>
              </w:rPr>
              <w:t>l</w:t>
            </w:r>
            <w:r w:rsidRPr="001F4CEA">
              <w:rPr>
                <w:sz w:val="22"/>
                <w:szCs w:val="22"/>
              </w:rPr>
              <w:t>sætningen af biogas til naturgasnettet vil f</w:t>
            </w:r>
            <w:r w:rsidRPr="001F4CEA">
              <w:rPr>
                <w:sz w:val="22"/>
                <w:szCs w:val="22"/>
              </w:rPr>
              <w:t>o</w:t>
            </w:r>
            <w:r w:rsidRPr="001F4CEA">
              <w:rPr>
                <w:sz w:val="22"/>
                <w:szCs w:val="22"/>
              </w:rPr>
              <w:t>regå i en meget langsommere takt, så også af denne anledning er der behov for at differe</w:t>
            </w:r>
            <w:r w:rsidRPr="001F4CEA">
              <w:rPr>
                <w:sz w:val="22"/>
                <w:szCs w:val="22"/>
              </w:rPr>
              <w:t>n</w:t>
            </w:r>
            <w:r w:rsidRPr="001F4CEA">
              <w:rPr>
                <w:sz w:val="22"/>
                <w:szCs w:val="22"/>
              </w:rPr>
              <w:t>tiere afgifterne på naturgas og bygas, så a</w:t>
            </w:r>
            <w:r w:rsidRPr="001F4CEA">
              <w:rPr>
                <w:sz w:val="22"/>
                <w:szCs w:val="22"/>
              </w:rPr>
              <w:t>f</w:t>
            </w:r>
            <w:r w:rsidRPr="001F4CEA">
              <w:rPr>
                <w:sz w:val="22"/>
                <w:szCs w:val="22"/>
              </w:rPr>
              <w:t>giften på bygas bliver mindre pr. energie</w:t>
            </w:r>
            <w:r w:rsidRPr="001F4CEA">
              <w:rPr>
                <w:sz w:val="22"/>
                <w:szCs w:val="22"/>
              </w:rPr>
              <w:t>n</w:t>
            </w:r>
            <w:r w:rsidRPr="001F4CEA">
              <w:rPr>
                <w:sz w:val="22"/>
                <w:szCs w:val="22"/>
              </w:rPr>
              <w:t xml:space="preserve">hed. </w:t>
            </w:r>
          </w:p>
        </w:tc>
        <w:tc>
          <w:tcPr>
            <w:tcW w:w="2991" w:type="dxa"/>
          </w:tcPr>
          <w:p w:rsidR="00E12A5D" w:rsidRPr="001F4CEA" w:rsidRDefault="002E2CF1" w:rsidP="004C6091">
            <w:pPr>
              <w:rPr>
                <w:sz w:val="22"/>
                <w:szCs w:val="22"/>
              </w:rPr>
            </w:pPr>
            <w:r>
              <w:rPr>
                <w:sz w:val="22"/>
                <w:szCs w:val="22"/>
              </w:rPr>
              <w:t xml:space="preserve">Der henvises til kommentaren til </w:t>
            </w:r>
            <w:r w:rsidR="004C6091">
              <w:rPr>
                <w:sz w:val="22"/>
                <w:szCs w:val="22"/>
              </w:rPr>
              <w:t>EOF</w:t>
            </w:r>
            <w:r w:rsidR="00CF388C">
              <w:rPr>
                <w:sz w:val="22"/>
                <w:szCs w:val="22"/>
              </w:rPr>
              <w:t xml:space="preserve"> og KL</w:t>
            </w:r>
            <w:r>
              <w:rPr>
                <w:sz w:val="22"/>
                <w:szCs w:val="22"/>
              </w:rPr>
              <w:t xml:space="preserve">. </w:t>
            </w:r>
          </w:p>
        </w:tc>
      </w:tr>
      <w:tr w:rsidR="00AB0422" w:rsidRPr="001F4CEA" w:rsidTr="00A56C38">
        <w:tc>
          <w:tcPr>
            <w:tcW w:w="1809" w:type="dxa"/>
          </w:tcPr>
          <w:p w:rsidR="00AB0422" w:rsidRPr="001F4CEA" w:rsidRDefault="00AB0422">
            <w:pPr>
              <w:rPr>
                <w:sz w:val="22"/>
                <w:szCs w:val="22"/>
              </w:rPr>
            </w:pPr>
            <w:r w:rsidRPr="001F4CEA">
              <w:rPr>
                <w:sz w:val="22"/>
                <w:szCs w:val="22"/>
              </w:rPr>
              <w:t>Landbrug &amp; F</w:t>
            </w:r>
            <w:r w:rsidRPr="001F4CEA">
              <w:rPr>
                <w:sz w:val="22"/>
                <w:szCs w:val="22"/>
              </w:rPr>
              <w:t>ø</w:t>
            </w:r>
            <w:r w:rsidRPr="001F4CEA">
              <w:rPr>
                <w:sz w:val="22"/>
                <w:szCs w:val="22"/>
              </w:rPr>
              <w:t xml:space="preserve">devarer </w:t>
            </w:r>
          </w:p>
        </w:tc>
        <w:tc>
          <w:tcPr>
            <w:tcW w:w="4245" w:type="dxa"/>
          </w:tcPr>
          <w:p w:rsidR="001E3A0C" w:rsidRPr="001F4CEA" w:rsidRDefault="001E3A0C" w:rsidP="001E3A0C">
            <w:pPr>
              <w:rPr>
                <w:sz w:val="22"/>
                <w:szCs w:val="22"/>
              </w:rPr>
            </w:pPr>
            <w:r w:rsidRPr="001F4CEA">
              <w:rPr>
                <w:sz w:val="22"/>
                <w:szCs w:val="22"/>
              </w:rPr>
              <w:t>På grund af den korte høringsfrist, som yde</w:t>
            </w:r>
            <w:r w:rsidRPr="001F4CEA">
              <w:rPr>
                <w:sz w:val="22"/>
                <w:szCs w:val="22"/>
              </w:rPr>
              <w:t>r</w:t>
            </w:r>
            <w:r w:rsidRPr="001F4CEA">
              <w:rPr>
                <w:sz w:val="22"/>
                <w:szCs w:val="22"/>
              </w:rPr>
              <w:t>ligere falder over en ferieperiode, forbeho</w:t>
            </w:r>
            <w:r w:rsidRPr="001F4CEA">
              <w:rPr>
                <w:sz w:val="22"/>
                <w:szCs w:val="22"/>
              </w:rPr>
              <w:t>l</w:t>
            </w:r>
            <w:r w:rsidRPr="001F4CEA">
              <w:rPr>
                <w:sz w:val="22"/>
                <w:szCs w:val="22"/>
              </w:rPr>
              <w:t>der Landbrug &amp; Fødevarer sig ret til snarest at vende tilbage med yderligere bemærkni</w:t>
            </w:r>
            <w:r w:rsidRPr="001F4CEA">
              <w:rPr>
                <w:sz w:val="22"/>
                <w:szCs w:val="22"/>
              </w:rPr>
              <w:t>n</w:t>
            </w:r>
            <w:r w:rsidRPr="001F4CEA">
              <w:rPr>
                <w:sz w:val="22"/>
                <w:szCs w:val="22"/>
              </w:rPr>
              <w:t>ger til lovforslaget.</w:t>
            </w:r>
          </w:p>
          <w:p w:rsidR="001E3A0C" w:rsidRDefault="001E3A0C" w:rsidP="001E3A0C">
            <w:pPr>
              <w:rPr>
                <w:sz w:val="22"/>
                <w:szCs w:val="22"/>
              </w:rPr>
            </w:pPr>
            <w:r w:rsidRPr="001F4CEA">
              <w:rPr>
                <w:sz w:val="22"/>
                <w:szCs w:val="22"/>
              </w:rPr>
              <w:t>L108 foreslår ændringer i gasafgiftsloven. L108 er derfor en oplagt åbning for at fjerne en eksisterende</w:t>
            </w:r>
            <w:r w:rsidR="005F1C3B" w:rsidRPr="001F4CEA">
              <w:rPr>
                <w:sz w:val="22"/>
                <w:szCs w:val="22"/>
              </w:rPr>
              <w:t xml:space="preserve"> </w:t>
            </w:r>
            <w:r w:rsidRPr="001F4CEA">
              <w:rPr>
                <w:sz w:val="22"/>
                <w:szCs w:val="22"/>
              </w:rPr>
              <w:t>uklarhed i gasafgiftslovens regler om tilbagebetaling, så administrati</w:t>
            </w:r>
            <w:r w:rsidRPr="001F4CEA">
              <w:rPr>
                <w:sz w:val="22"/>
                <w:szCs w:val="22"/>
              </w:rPr>
              <w:t>o</w:t>
            </w:r>
            <w:r w:rsidRPr="001F4CEA">
              <w:rPr>
                <w:sz w:val="22"/>
                <w:szCs w:val="22"/>
              </w:rPr>
              <w:t>nen bringes i overensstemmelse</w:t>
            </w:r>
            <w:r w:rsidR="005F1C3B" w:rsidRPr="001F4CEA">
              <w:rPr>
                <w:sz w:val="22"/>
                <w:szCs w:val="22"/>
              </w:rPr>
              <w:t xml:space="preserve"> </w:t>
            </w:r>
            <w:r w:rsidRPr="001F4CEA">
              <w:rPr>
                <w:sz w:val="22"/>
                <w:szCs w:val="22"/>
              </w:rPr>
              <w:t>med de pol</w:t>
            </w:r>
            <w:r w:rsidRPr="001F4CEA">
              <w:rPr>
                <w:sz w:val="22"/>
                <w:szCs w:val="22"/>
              </w:rPr>
              <w:t>i</w:t>
            </w:r>
            <w:r w:rsidRPr="001F4CEA">
              <w:rPr>
                <w:sz w:val="22"/>
                <w:szCs w:val="22"/>
              </w:rPr>
              <w:t>tiske intentioner, og virksomhederne ikke kommer i klemme på baggrund af forkert administrationspraksis.</w:t>
            </w:r>
          </w:p>
          <w:p w:rsidR="002D46B2" w:rsidRDefault="002D46B2" w:rsidP="002D46B2">
            <w:pPr>
              <w:rPr>
                <w:sz w:val="22"/>
                <w:szCs w:val="22"/>
              </w:rPr>
            </w:pPr>
            <w:r>
              <w:rPr>
                <w:sz w:val="22"/>
                <w:szCs w:val="22"/>
              </w:rPr>
              <w:t xml:space="preserve">Landbrug &amp; Fødevarer nævner herefter en konkret sag med en virksomhed, der af SKAT er blevet opkrævet yderligere afgift. I den forbindelse gennemgås retsgrundlaget herunder forarbejderne, og der argumenteres for, at </w:t>
            </w:r>
            <w:proofErr w:type="spellStart"/>
            <w:r>
              <w:rPr>
                <w:sz w:val="22"/>
                <w:szCs w:val="22"/>
              </w:rPr>
              <w:t>SKATs</w:t>
            </w:r>
            <w:proofErr w:type="spellEnd"/>
            <w:r>
              <w:rPr>
                <w:sz w:val="22"/>
                <w:szCs w:val="22"/>
              </w:rPr>
              <w:t xml:space="preserve"> praksis ikke er i overensste</w:t>
            </w:r>
            <w:r>
              <w:rPr>
                <w:sz w:val="22"/>
                <w:szCs w:val="22"/>
              </w:rPr>
              <w:t>m</w:t>
            </w:r>
            <w:r>
              <w:rPr>
                <w:sz w:val="22"/>
                <w:szCs w:val="22"/>
              </w:rPr>
              <w:t xml:space="preserve">melse med lovens intention. </w:t>
            </w:r>
          </w:p>
          <w:p w:rsidR="00AB0422" w:rsidRPr="001F4CEA" w:rsidRDefault="001E3A0C" w:rsidP="002D46B2">
            <w:pPr>
              <w:rPr>
                <w:sz w:val="22"/>
                <w:szCs w:val="22"/>
              </w:rPr>
            </w:pPr>
            <w:r w:rsidRPr="001F4CEA">
              <w:rPr>
                <w:sz w:val="22"/>
                <w:szCs w:val="22"/>
              </w:rPr>
              <w:t>Landbrug og Fødevarer anbefaler på den baggrund, at man bruger denne oplagte a</w:t>
            </w:r>
            <w:r w:rsidRPr="001F4CEA">
              <w:rPr>
                <w:sz w:val="22"/>
                <w:szCs w:val="22"/>
              </w:rPr>
              <w:t>n</w:t>
            </w:r>
            <w:r w:rsidR="007A19DE" w:rsidRPr="001F4CEA">
              <w:rPr>
                <w:sz w:val="22"/>
                <w:szCs w:val="22"/>
              </w:rPr>
              <w:t>ledning</w:t>
            </w:r>
            <w:r w:rsidRPr="001F4CEA">
              <w:rPr>
                <w:sz w:val="22"/>
                <w:szCs w:val="22"/>
              </w:rPr>
              <w:t xml:space="preserve"> til at fjerne en eksisterende uklarhed i gasafgiftslovens regler om tilbagebetaling, så administrationen bringes i overensstemmelse med de politiske intentioner, og virksomh</w:t>
            </w:r>
            <w:r w:rsidRPr="001F4CEA">
              <w:rPr>
                <w:sz w:val="22"/>
                <w:szCs w:val="22"/>
              </w:rPr>
              <w:t>e</w:t>
            </w:r>
            <w:r w:rsidRPr="001F4CEA">
              <w:rPr>
                <w:sz w:val="22"/>
                <w:szCs w:val="22"/>
              </w:rPr>
              <w:t>derne, der energieffektivt udnytter grøn ene</w:t>
            </w:r>
            <w:r w:rsidRPr="001F4CEA">
              <w:rPr>
                <w:sz w:val="22"/>
                <w:szCs w:val="22"/>
              </w:rPr>
              <w:t>r</w:t>
            </w:r>
            <w:r w:rsidRPr="001F4CEA">
              <w:rPr>
                <w:sz w:val="22"/>
                <w:szCs w:val="22"/>
              </w:rPr>
              <w:t>gi, ikke kommer i klemme på baggrund af forkert administrationspraksis.</w:t>
            </w:r>
          </w:p>
        </w:tc>
        <w:tc>
          <w:tcPr>
            <w:tcW w:w="2991" w:type="dxa"/>
          </w:tcPr>
          <w:p w:rsidR="00B01D52" w:rsidRPr="001F4CEA" w:rsidRDefault="00355292" w:rsidP="00B01D52">
            <w:pPr>
              <w:rPr>
                <w:sz w:val="22"/>
                <w:szCs w:val="22"/>
              </w:rPr>
            </w:pPr>
            <w:r w:rsidRPr="001F4CEA">
              <w:rPr>
                <w:sz w:val="22"/>
                <w:szCs w:val="22"/>
              </w:rPr>
              <w:t>Forhøjelserne i energiafgifte</w:t>
            </w:r>
            <w:r w:rsidRPr="001F4CEA">
              <w:rPr>
                <w:sz w:val="22"/>
                <w:szCs w:val="22"/>
              </w:rPr>
              <w:t>r</w:t>
            </w:r>
            <w:r w:rsidRPr="001F4CEA">
              <w:rPr>
                <w:sz w:val="22"/>
                <w:szCs w:val="22"/>
              </w:rPr>
              <w:t>ne på de fossile brændstoffer har alene til formål at sikre f</w:t>
            </w:r>
            <w:r w:rsidRPr="001F4CEA">
              <w:rPr>
                <w:sz w:val="22"/>
                <w:szCs w:val="22"/>
              </w:rPr>
              <w:t>i</w:t>
            </w:r>
            <w:r w:rsidRPr="001F4CEA">
              <w:rPr>
                <w:sz w:val="22"/>
                <w:szCs w:val="22"/>
              </w:rPr>
              <w:t xml:space="preserve">nansieringen af dele af </w:t>
            </w:r>
            <w:r w:rsidRPr="001F4CEA">
              <w:rPr>
                <w:i/>
                <w:sz w:val="22"/>
                <w:szCs w:val="22"/>
              </w:rPr>
              <w:t>Energ</w:t>
            </w:r>
            <w:r w:rsidRPr="001F4CEA">
              <w:rPr>
                <w:i/>
                <w:sz w:val="22"/>
                <w:szCs w:val="22"/>
              </w:rPr>
              <w:t>i</w:t>
            </w:r>
            <w:r w:rsidRPr="001F4CEA">
              <w:rPr>
                <w:i/>
                <w:sz w:val="22"/>
                <w:szCs w:val="22"/>
              </w:rPr>
              <w:t>aftalen 2012</w:t>
            </w:r>
            <w:r w:rsidRPr="001F4CEA">
              <w:rPr>
                <w:sz w:val="22"/>
                <w:szCs w:val="22"/>
              </w:rPr>
              <w:t xml:space="preserve"> samt </w:t>
            </w:r>
            <w:r w:rsidRPr="001F4CEA">
              <w:rPr>
                <w:i/>
                <w:sz w:val="22"/>
                <w:szCs w:val="22"/>
              </w:rPr>
              <w:t>Solcelleaft</w:t>
            </w:r>
            <w:r w:rsidRPr="001F4CEA">
              <w:rPr>
                <w:i/>
                <w:sz w:val="22"/>
                <w:szCs w:val="22"/>
              </w:rPr>
              <w:t>a</w:t>
            </w:r>
            <w:r w:rsidRPr="001F4CEA">
              <w:rPr>
                <w:i/>
                <w:sz w:val="22"/>
                <w:szCs w:val="22"/>
              </w:rPr>
              <w:t>len</w:t>
            </w:r>
            <w:r w:rsidRPr="001F4CEA">
              <w:rPr>
                <w:sz w:val="22"/>
                <w:szCs w:val="22"/>
              </w:rPr>
              <w:t>.  Forslaget har ikke til fo</w:t>
            </w:r>
            <w:r w:rsidRPr="001F4CEA">
              <w:rPr>
                <w:sz w:val="22"/>
                <w:szCs w:val="22"/>
              </w:rPr>
              <w:t>r</w:t>
            </w:r>
            <w:r w:rsidRPr="001F4CEA">
              <w:rPr>
                <w:sz w:val="22"/>
                <w:szCs w:val="22"/>
              </w:rPr>
              <w:t>mål at ændre andre materielle regler i energiafgiftslovene.</w:t>
            </w:r>
          </w:p>
          <w:p w:rsidR="00FE656D" w:rsidRPr="001F4CEA" w:rsidRDefault="00355292" w:rsidP="00FE656D">
            <w:pPr>
              <w:rPr>
                <w:sz w:val="22"/>
                <w:szCs w:val="22"/>
              </w:rPr>
            </w:pPr>
            <w:r w:rsidRPr="001F4CEA">
              <w:rPr>
                <w:sz w:val="22"/>
                <w:szCs w:val="22"/>
              </w:rPr>
              <w:t>I forhold til det anførte vedr</w:t>
            </w:r>
            <w:r w:rsidRPr="001F4CEA">
              <w:rPr>
                <w:sz w:val="22"/>
                <w:szCs w:val="22"/>
              </w:rPr>
              <w:t>ø</w:t>
            </w:r>
            <w:r w:rsidRPr="001F4CEA">
              <w:rPr>
                <w:sz w:val="22"/>
                <w:szCs w:val="22"/>
              </w:rPr>
              <w:t xml:space="preserve">rende en konkret sag, skal det </w:t>
            </w:r>
            <w:r w:rsidR="00FE656D" w:rsidRPr="001F4CEA">
              <w:rPr>
                <w:sz w:val="22"/>
                <w:szCs w:val="22"/>
              </w:rPr>
              <w:t>bemærkes, at</w:t>
            </w:r>
            <w:r w:rsidRPr="001F4CEA">
              <w:rPr>
                <w:sz w:val="22"/>
                <w:szCs w:val="22"/>
              </w:rPr>
              <w:t xml:space="preserve"> </w:t>
            </w:r>
            <w:r w:rsidR="00FE656D" w:rsidRPr="001F4CEA">
              <w:rPr>
                <w:sz w:val="22"/>
                <w:szCs w:val="22"/>
              </w:rPr>
              <w:t>den faste fre</w:t>
            </w:r>
            <w:r w:rsidR="00FE656D" w:rsidRPr="001F4CEA">
              <w:rPr>
                <w:sz w:val="22"/>
                <w:szCs w:val="22"/>
              </w:rPr>
              <w:t>m</w:t>
            </w:r>
            <w:r w:rsidR="00FE656D" w:rsidRPr="001F4CEA">
              <w:rPr>
                <w:sz w:val="22"/>
                <w:szCs w:val="22"/>
              </w:rPr>
              <w:t>gangsmåde ved tvister o</w:t>
            </w:r>
            <w:r w:rsidR="00FE656D" w:rsidRPr="001F4CEA">
              <w:rPr>
                <w:sz w:val="22"/>
                <w:szCs w:val="22"/>
              </w:rPr>
              <w:t>m</w:t>
            </w:r>
            <w:r w:rsidR="004B5FD5" w:rsidRPr="001F4CEA">
              <w:rPr>
                <w:sz w:val="22"/>
                <w:szCs w:val="22"/>
              </w:rPr>
              <w:t>handlende</w:t>
            </w:r>
            <w:r w:rsidR="00FE656D" w:rsidRPr="001F4CEA">
              <w:rPr>
                <w:sz w:val="22"/>
                <w:szCs w:val="22"/>
              </w:rPr>
              <w:t xml:space="preserve"> en afgørelse truffet af SKAT er først at påklage den i det administrative s</w:t>
            </w:r>
            <w:r w:rsidR="00FE656D" w:rsidRPr="001F4CEA">
              <w:rPr>
                <w:sz w:val="22"/>
                <w:szCs w:val="22"/>
              </w:rPr>
              <w:t>y</w:t>
            </w:r>
            <w:r w:rsidR="00FE656D" w:rsidRPr="001F4CEA">
              <w:rPr>
                <w:sz w:val="22"/>
                <w:szCs w:val="22"/>
              </w:rPr>
              <w:t>stem, dvs. til Landsskatteretten og med efterfølgende mulighed for at indbringe sagen for do</w:t>
            </w:r>
            <w:r w:rsidR="00FE656D" w:rsidRPr="001F4CEA">
              <w:rPr>
                <w:sz w:val="22"/>
                <w:szCs w:val="22"/>
              </w:rPr>
              <w:t>m</w:t>
            </w:r>
            <w:r w:rsidR="00FE656D" w:rsidRPr="001F4CEA">
              <w:rPr>
                <w:sz w:val="22"/>
                <w:szCs w:val="22"/>
              </w:rPr>
              <w:t xml:space="preserve">stolene. </w:t>
            </w:r>
          </w:p>
          <w:p w:rsidR="00B01D52" w:rsidRPr="001F4CEA" w:rsidRDefault="00FE656D" w:rsidP="00FE656D">
            <w:pPr>
              <w:rPr>
                <w:sz w:val="22"/>
                <w:szCs w:val="22"/>
              </w:rPr>
            </w:pPr>
            <w:r w:rsidRPr="001F4CEA">
              <w:rPr>
                <w:sz w:val="22"/>
                <w:szCs w:val="22"/>
              </w:rPr>
              <w:t xml:space="preserve"> </w:t>
            </w:r>
          </w:p>
        </w:tc>
      </w:tr>
      <w:tr w:rsidR="00FC7C92" w:rsidRPr="001F4CEA" w:rsidTr="00A56C38">
        <w:tc>
          <w:tcPr>
            <w:tcW w:w="1809" w:type="dxa"/>
          </w:tcPr>
          <w:p w:rsidR="00FC7C92" w:rsidRPr="001F4CEA" w:rsidRDefault="00A65C42">
            <w:pPr>
              <w:rPr>
                <w:sz w:val="22"/>
                <w:szCs w:val="22"/>
              </w:rPr>
            </w:pPr>
            <w:r w:rsidRPr="001F4CEA">
              <w:rPr>
                <w:sz w:val="22"/>
                <w:szCs w:val="22"/>
              </w:rPr>
              <w:t xml:space="preserve">Miljøstyrelsen </w:t>
            </w:r>
          </w:p>
        </w:tc>
        <w:tc>
          <w:tcPr>
            <w:tcW w:w="4245" w:type="dxa"/>
          </w:tcPr>
          <w:p w:rsidR="00FC7C92" w:rsidRPr="001F4CEA" w:rsidRDefault="00A65C42">
            <w:pPr>
              <w:rPr>
                <w:sz w:val="22"/>
                <w:szCs w:val="22"/>
              </w:rPr>
            </w:pPr>
            <w:r w:rsidRPr="001F4CEA">
              <w:rPr>
                <w:sz w:val="22"/>
                <w:szCs w:val="22"/>
              </w:rPr>
              <w:t>Miljøstyrelsen har ingen bemærkninger.</w:t>
            </w:r>
          </w:p>
        </w:tc>
        <w:tc>
          <w:tcPr>
            <w:tcW w:w="2991" w:type="dxa"/>
          </w:tcPr>
          <w:p w:rsidR="00FC7C92" w:rsidRPr="001F4CEA" w:rsidRDefault="00FC7C92">
            <w:pPr>
              <w:rPr>
                <w:sz w:val="22"/>
                <w:szCs w:val="22"/>
              </w:rPr>
            </w:pPr>
          </w:p>
        </w:tc>
      </w:tr>
      <w:tr w:rsidR="00FC7C92" w:rsidRPr="001F4CEA" w:rsidTr="00A56C38">
        <w:tc>
          <w:tcPr>
            <w:tcW w:w="1809" w:type="dxa"/>
          </w:tcPr>
          <w:p w:rsidR="00FC7C92" w:rsidRPr="001F4CEA" w:rsidRDefault="000E56F7">
            <w:pPr>
              <w:rPr>
                <w:sz w:val="22"/>
                <w:szCs w:val="22"/>
              </w:rPr>
            </w:pPr>
            <w:r w:rsidRPr="001F4CEA">
              <w:rPr>
                <w:sz w:val="22"/>
                <w:szCs w:val="22"/>
              </w:rPr>
              <w:t>Mineralolie Brancheforeni</w:t>
            </w:r>
            <w:r w:rsidRPr="001F4CEA">
              <w:rPr>
                <w:sz w:val="22"/>
                <w:szCs w:val="22"/>
              </w:rPr>
              <w:t>n</w:t>
            </w:r>
            <w:r w:rsidRPr="001F4CEA">
              <w:rPr>
                <w:sz w:val="22"/>
                <w:szCs w:val="22"/>
              </w:rPr>
              <w:t>gen</w:t>
            </w:r>
          </w:p>
        </w:tc>
        <w:tc>
          <w:tcPr>
            <w:tcW w:w="4245" w:type="dxa"/>
          </w:tcPr>
          <w:p w:rsidR="000E56F7" w:rsidRPr="001F4CEA" w:rsidRDefault="000E56F7" w:rsidP="000E56F7">
            <w:pPr>
              <w:rPr>
                <w:sz w:val="22"/>
                <w:szCs w:val="22"/>
              </w:rPr>
            </w:pPr>
            <w:r w:rsidRPr="001F4CEA">
              <w:rPr>
                <w:sz w:val="22"/>
                <w:szCs w:val="22"/>
              </w:rPr>
              <w:t>Mineralolie Brancheforeningen</w:t>
            </w:r>
            <w:r w:rsidR="00D257B7" w:rsidRPr="001F4CEA">
              <w:rPr>
                <w:sz w:val="22"/>
                <w:szCs w:val="22"/>
              </w:rPr>
              <w:t xml:space="preserve"> nævner for det første, at de er uforstående overfor, at de ikke </w:t>
            </w:r>
            <w:r w:rsidRPr="001F4CEA">
              <w:rPr>
                <w:sz w:val="22"/>
                <w:szCs w:val="22"/>
              </w:rPr>
              <w:t>er medtaget på høringslisten på trods af, at lovforslaget netop vedrører afgiftsændri</w:t>
            </w:r>
            <w:r w:rsidRPr="001F4CEA">
              <w:rPr>
                <w:sz w:val="22"/>
                <w:szCs w:val="22"/>
              </w:rPr>
              <w:t>n</w:t>
            </w:r>
            <w:r w:rsidRPr="001F4CEA">
              <w:rPr>
                <w:sz w:val="22"/>
                <w:szCs w:val="22"/>
              </w:rPr>
              <w:t>ger på smøreoli</w:t>
            </w:r>
            <w:r w:rsidR="00D257B7" w:rsidRPr="001F4CEA">
              <w:rPr>
                <w:sz w:val="22"/>
                <w:szCs w:val="22"/>
              </w:rPr>
              <w:t xml:space="preserve">er. </w:t>
            </w:r>
          </w:p>
          <w:p w:rsidR="000E56F7" w:rsidRPr="001F4CEA" w:rsidRDefault="000E56F7" w:rsidP="000E56F7">
            <w:pPr>
              <w:rPr>
                <w:sz w:val="22"/>
                <w:szCs w:val="22"/>
              </w:rPr>
            </w:pPr>
            <w:r w:rsidRPr="001F4CEA">
              <w:rPr>
                <w:sz w:val="22"/>
                <w:szCs w:val="22"/>
              </w:rPr>
              <w:t>Mineralolie Brancheforeningen finder det samtidig uacceptabel at høringsfristen er særdeles kort og netop f</w:t>
            </w:r>
            <w:r w:rsidR="00D257B7" w:rsidRPr="001F4CEA">
              <w:rPr>
                <w:sz w:val="22"/>
                <w:szCs w:val="22"/>
              </w:rPr>
              <w:t>alder i j</w:t>
            </w:r>
            <w:r w:rsidRPr="001F4CEA">
              <w:rPr>
                <w:sz w:val="22"/>
                <w:szCs w:val="22"/>
              </w:rPr>
              <w:t>ulen, hvilket vanskeliggør arbejdet på grund af ferieperi</w:t>
            </w:r>
            <w:r w:rsidRPr="001F4CEA">
              <w:rPr>
                <w:sz w:val="22"/>
                <w:szCs w:val="22"/>
              </w:rPr>
              <w:t>o</w:t>
            </w:r>
            <w:r w:rsidRPr="001F4CEA">
              <w:rPr>
                <w:sz w:val="22"/>
                <w:szCs w:val="22"/>
              </w:rPr>
              <w:t>den. Samtidig strider det mod regeringens intentioner om rimelige hø</w:t>
            </w:r>
            <w:r w:rsidR="00D257B7" w:rsidRPr="001F4CEA">
              <w:rPr>
                <w:sz w:val="22"/>
                <w:szCs w:val="22"/>
              </w:rPr>
              <w:t xml:space="preserve">ringsfrister. </w:t>
            </w:r>
          </w:p>
          <w:p w:rsidR="000E56F7" w:rsidRPr="001F4CEA" w:rsidRDefault="000E56F7" w:rsidP="000E56F7">
            <w:pPr>
              <w:rPr>
                <w:sz w:val="22"/>
                <w:szCs w:val="22"/>
              </w:rPr>
            </w:pPr>
            <w:r w:rsidRPr="001F4CEA">
              <w:rPr>
                <w:sz w:val="22"/>
                <w:szCs w:val="22"/>
              </w:rPr>
              <w:t>Mineralolie Brancheforeningens komment</w:t>
            </w:r>
            <w:r w:rsidRPr="001F4CEA">
              <w:rPr>
                <w:sz w:val="22"/>
                <w:szCs w:val="22"/>
              </w:rPr>
              <w:t>a</w:t>
            </w:r>
            <w:r w:rsidRPr="001F4CEA">
              <w:rPr>
                <w:sz w:val="22"/>
                <w:szCs w:val="22"/>
              </w:rPr>
              <w:t>rer til lovforslaget er følgende:</w:t>
            </w:r>
          </w:p>
          <w:p w:rsidR="000E56F7" w:rsidRPr="001F4CEA" w:rsidRDefault="000E56F7" w:rsidP="000E56F7">
            <w:pPr>
              <w:rPr>
                <w:sz w:val="22"/>
                <w:szCs w:val="22"/>
              </w:rPr>
            </w:pPr>
            <w:r w:rsidRPr="001F4CEA">
              <w:rPr>
                <w:sz w:val="22"/>
                <w:szCs w:val="22"/>
              </w:rPr>
              <w:t>-lovforslaget taler om en forsyningssikke</w:t>
            </w:r>
            <w:r w:rsidRPr="001F4CEA">
              <w:rPr>
                <w:sz w:val="22"/>
                <w:szCs w:val="22"/>
              </w:rPr>
              <w:t>r</w:t>
            </w:r>
            <w:r w:rsidRPr="001F4CEA">
              <w:rPr>
                <w:sz w:val="22"/>
                <w:szCs w:val="22"/>
              </w:rPr>
              <w:t>hedsafgift, hvilket ikke er relevant for sm</w:t>
            </w:r>
            <w:r w:rsidRPr="001F4CEA">
              <w:rPr>
                <w:sz w:val="22"/>
                <w:szCs w:val="22"/>
              </w:rPr>
              <w:t>ø</w:t>
            </w:r>
            <w:r w:rsidRPr="001F4CEA">
              <w:rPr>
                <w:sz w:val="22"/>
                <w:szCs w:val="22"/>
              </w:rPr>
              <w:t>reolier, da 100 pct. af den solgte smøreolie i Danmark indsamles og genraffineres til ny baseolie primært på et dansk raffinaderi, nemlig Dansk Olie Genbrug A/S's anlæg i Kalundborg.</w:t>
            </w:r>
          </w:p>
          <w:p w:rsidR="000E56F7" w:rsidRPr="00981F4F" w:rsidRDefault="000E56F7" w:rsidP="000E56F7">
            <w:pPr>
              <w:rPr>
                <w:sz w:val="22"/>
                <w:szCs w:val="22"/>
              </w:rPr>
            </w:pPr>
            <w:r w:rsidRPr="001F4CEA">
              <w:rPr>
                <w:sz w:val="22"/>
                <w:szCs w:val="22"/>
              </w:rPr>
              <w:t xml:space="preserve">-lovforslaget taler om en afgift på fossile brændstoffer til rumopvarmning, hvilket ikke er relevant for smøreolier, </w:t>
            </w:r>
            <w:r w:rsidRPr="00981F4F">
              <w:rPr>
                <w:sz w:val="22"/>
                <w:szCs w:val="22"/>
              </w:rPr>
              <w:t>da smøreolier ikke anvendes til rumopvarmning.</w:t>
            </w:r>
          </w:p>
          <w:p w:rsidR="000E56F7" w:rsidRPr="001F4CEA" w:rsidRDefault="000E56F7" w:rsidP="000E56F7">
            <w:pPr>
              <w:rPr>
                <w:sz w:val="22"/>
                <w:szCs w:val="22"/>
              </w:rPr>
            </w:pPr>
            <w:r w:rsidRPr="00981F4F">
              <w:rPr>
                <w:sz w:val="22"/>
                <w:szCs w:val="22"/>
              </w:rPr>
              <w:t>- lovforslaget vil medføre en forringelse</w:t>
            </w:r>
            <w:r w:rsidRPr="001F4CEA">
              <w:rPr>
                <w:sz w:val="22"/>
                <w:szCs w:val="22"/>
              </w:rPr>
              <w:t xml:space="preserve"> af den danske konkurrenceevne ved øgede o</w:t>
            </w:r>
            <w:r w:rsidRPr="001F4CEA">
              <w:rPr>
                <w:sz w:val="22"/>
                <w:szCs w:val="22"/>
              </w:rPr>
              <w:t>m</w:t>
            </w:r>
            <w:r w:rsidRPr="001F4CEA">
              <w:rPr>
                <w:sz w:val="22"/>
                <w:szCs w:val="22"/>
              </w:rPr>
              <w:t>kostninger i forhold til konkurrentlandene og vil dermed have en negativ indvirkning på beskæftigelsen i Danmark.</w:t>
            </w:r>
          </w:p>
          <w:p w:rsidR="00FC7C92" w:rsidRPr="001F4CEA" w:rsidRDefault="000E56F7" w:rsidP="000E56F7">
            <w:pPr>
              <w:rPr>
                <w:sz w:val="22"/>
                <w:szCs w:val="22"/>
              </w:rPr>
            </w:pPr>
            <w:r w:rsidRPr="001F4CEA">
              <w:rPr>
                <w:sz w:val="22"/>
                <w:szCs w:val="22"/>
              </w:rPr>
              <w:t>Det er et stærkt ønske for Mineralolie Bra</w:t>
            </w:r>
            <w:r w:rsidRPr="001F4CEA">
              <w:rPr>
                <w:sz w:val="22"/>
                <w:szCs w:val="22"/>
              </w:rPr>
              <w:t>n</w:t>
            </w:r>
            <w:r w:rsidRPr="001F4CEA">
              <w:rPr>
                <w:sz w:val="22"/>
                <w:szCs w:val="22"/>
              </w:rPr>
              <w:t>cheforeningen at lovforslaget revideres, sål</w:t>
            </w:r>
            <w:r w:rsidRPr="001F4CEA">
              <w:rPr>
                <w:sz w:val="22"/>
                <w:szCs w:val="22"/>
              </w:rPr>
              <w:t>e</w:t>
            </w:r>
            <w:r w:rsidRPr="001F4CEA">
              <w:rPr>
                <w:sz w:val="22"/>
                <w:szCs w:val="22"/>
              </w:rPr>
              <w:t>des at egentlige smøreolier undtages fra lo</w:t>
            </w:r>
            <w:r w:rsidRPr="001F4CEA">
              <w:rPr>
                <w:sz w:val="22"/>
                <w:szCs w:val="22"/>
              </w:rPr>
              <w:t>v</w:t>
            </w:r>
            <w:r w:rsidRPr="001F4CEA">
              <w:rPr>
                <w:sz w:val="22"/>
                <w:szCs w:val="22"/>
              </w:rPr>
              <w:t>forslaget.</w:t>
            </w:r>
          </w:p>
        </w:tc>
        <w:tc>
          <w:tcPr>
            <w:tcW w:w="2991" w:type="dxa"/>
          </w:tcPr>
          <w:p w:rsidR="00FC7C92" w:rsidRPr="001F4CEA" w:rsidRDefault="006A5787">
            <w:pPr>
              <w:rPr>
                <w:sz w:val="22"/>
                <w:szCs w:val="22"/>
              </w:rPr>
            </w:pPr>
            <w:r>
              <w:rPr>
                <w:sz w:val="22"/>
                <w:szCs w:val="22"/>
              </w:rPr>
              <w:t>Det</w:t>
            </w:r>
            <w:r w:rsidR="0055281D" w:rsidRPr="001F4CEA">
              <w:rPr>
                <w:sz w:val="22"/>
                <w:szCs w:val="22"/>
              </w:rPr>
              <w:t xml:space="preserve"> skal beklage</w:t>
            </w:r>
            <w:r w:rsidR="004A30BA">
              <w:rPr>
                <w:sz w:val="22"/>
                <w:szCs w:val="22"/>
              </w:rPr>
              <w:t>s</w:t>
            </w:r>
            <w:r w:rsidR="0055281D" w:rsidRPr="001F4CEA">
              <w:rPr>
                <w:sz w:val="22"/>
                <w:szCs w:val="22"/>
              </w:rPr>
              <w:t>, at foreni</w:t>
            </w:r>
            <w:r w:rsidR="0055281D" w:rsidRPr="001F4CEA">
              <w:rPr>
                <w:sz w:val="22"/>
                <w:szCs w:val="22"/>
              </w:rPr>
              <w:t>n</w:t>
            </w:r>
            <w:r w:rsidR="0055281D" w:rsidRPr="001F4CEA">
              <w:rPr>
                <w:sz w:val="22"/>
                <w:szCs w:val="22"/>
              </w:rPr>
              <w:t>gen ikke har været på høring</w:t>
            </w:r>
            <w:r w:rsidR="0055281D" w:rsidRPr="001F4CEA">
              <w:rPr>
                <w:sz w:val="22"/>
                <w:szCs w:val="22"/>
              </w:rPr>
              <w:t>s</w:t>
            </w:r>
            <w:r w:rsidR="0055281D" w:rsidRPr="001F4CEA">
              <w:rPr>
                <w:sz w:val="22"/>
                <w:szCs w:val="22"/>
              </w:rPr>
              <w:t>listen.</w:t>
            </w:r>
            <w:r w:rsidR="00267DFB">
              <w:rPr>
                <w:sz w:val="22"/>
                <w:szCs w:val="22"/>
              </w:rPr>
              <w:t xml:space="preserve"> Foreningen er nu tilføjet skatteministeriets høringsliste. </w:t>
            </w:r>
          </w:p>
          <w:p w:rsidR="0055281D" w:rsidRPr="001F4CEA" w:rsidRDefault="0055281D">
            <w:pPr>
              <w:rPr>
                <w:sz w:val="22"/>
                <w:szCs w:val="22"/>
              </w:rPr>
            </w:pPr>
          </w:p>
          <w:p w:rsidR="0055281D" w:rsidRDefault="00D21FCD">
            <w:pPr>
              <w:rPr>
                <w:sz w:val="22"/>
                <w:szCs w:val="22"/>
              </w:rPr>
            </w:pPr>
            <w:r w:rsidRPr="001F4CEA">
              <w:rPr>
                <w:sz w:val="22"/>
                <w:szCs w:val="22"/>
              </w:rPr>
              <w:t xml:space="preserve">Der henvises til kommentaren til Advokatrådet. </w:t>
            </w:r>
            <w:r w:rsidR="0055281D" w:rsidRPr="001F4CEA">
              <w:rPr>
                <w:sz w:val="22"/>
                <w:szCs w:val="22"/>
              </w:rPr>
              <w:t xml:space="preserve"> </w:t>
            </w:r>
          </w:p>
          <w:p w:rsidR="00981F4F" w:rsidRDefault="00981F4F">
            <w:pPr>
              <w:rPr>
                <w:sz w:val="22"/>
                <w:szCs w:val="22"/>
              </w:rPr>
            </w:pPr>
          </w:p>
          <w:p w:rsidR="00981F4F" w:rsidRDefault="00981F4F">
            <w:pPr>
              <w:rPr>
                <w:sz w:val="22"/>
                <w:szCs w:val="22"/>
              </w:rPr>
            </w:pPr>
          </w:p>
          <w:p w:rsidR="00981F4F" w:rsidRDefault="00981F4F">
            <w:pPr>
              <w:rPr>
                <w:sz w:val="22"/>
                <w:szCs w:val="22"/>
              </w:rPr>
            </w:pPr>
          </w:p>
          <w:p w:rsidR="00981F4F" w:rsidRPr="001F4CEA" w:rsidRDefault="00981F4F">
            <w:pPr>
              <w:rPr>
                <w:sz w:val="22"/>
                <w:szCs w:val="22"/>
              </w:rPr>
            </w:pPr>
            <w:r>
              <w:rPr>
                <w:sz w:val="22"/>
                <w:szCs w:val="22"/>
              </w:rPr>
              <w:t xml:space="preserve">Der henvises til kommentaren til EOF. </w:t>
            </w:r>
          </w:p>
        </w:tc>
      </w:tr>
      <w:tr w:rsidR="00FC7C92" w:rsidRPr="001F4CEA" w:rsidTr="00A56C38">
        <w:tc>
          <w:tcPr>
            <w:tcW w:w="1809" w:type="dxa"/>
          </w:tcPr>
          <w:p w:rsidR="00FC7C92" w:rsidRPr="001F4CEA" w:rsidRDefault="00C97530">
            <w:pPr>
              <w:rPr>
                <w:sz w:val="22"/>
                <w:szCs w:val="22"/>
              </w:rPr>
            </w:pPr>
            <w:r w:rsidRPr="001F4CEA">
              <w:rPr>
                <w:sz w:val="22"/>
                <w:szCs w:val="22"/>
              </w:rPr>
              <w:t>Sammensluttede Danske Energ</w:t>
            </w:r>
            <w:r w:rsidRPr="001F4CEA">
              <w:rPr>
                <w:sz w:val="22"/>
                <w:szCs w:val="22"/>
              </w:rPr>
              <w:t>i</w:t>
            </w:r>
            <w:r w:rsidRPr="001F4CEA">
              <w:rPr>
                <w:sz w:val="22"/>
                <w:szCs w:val="22"/>
              </w:rPr>
              <w:t>forbrugere (SDE)</w:t>
            </w:r>
          </w:p>
        </w:tc>
        <w:tc>
          <w:tcPr>
            <w:tcW w:w="4245" w:type="dxa"/>
          </w:tcPr>
          <w:p w:rsidR="00C97530" w:rsidRPr="001F4CEA" w:rsidRDefault="00C97530" w:rsidP="00C97530">
            <w:pPr>
              <w:rPr>
                <w:sz w:val="22"/>
                <w:szCs w:val="22"/>
              </w:rPr>
            </w:pPr>
            <w:r w:rsidRPr="001F4CEA">
              <w:rPr>
                <w:sz w:val="22"/>
                <w:szCs w:val="22"/>
              </w:rPr>
              <w:t xml:space="preserve">SDE så gerne, at hele afgiftssystemet på energiområdet blev omlagt, og at afgiften opdeles i flere dele, der </w:t>
            </w:r>
            <w:r w:rsidR="008250F1" w:rsidRPr="001F4CEA">
              <w:rPr>
                <w:sz w:val="22"/>
                <w:szCs w:val="22"/>
              </w:rPr>
              <w:t>hver</w:t>
            </w:r>
            <w:r w:rsidRPr="001F4CEA">
              <w:rPr>
                <w:sz w:val="22"/>
                <w:szCs w:val="22"/>
              </w:rPr>
              <w:t xml:space="preserve"> især er målrettet til ét specifikt formål.</w:t>
            </w:r>
          </w:p>
          <w:p w:rsidR="00C97530" w:rsidRPr="001F4CEA" w:rsidRDefault="00C97530" w:rsidP="00C97530">
            <w:pPr>
              <w:rPr>
                <w:sz w:val="22"/>
                <w:szCs w:val="22"/>
              </w:rPr>
            </w:pPr>
            <w:r w:rsidRPr="001F4CEA">
              <w:rPr>
                <w:sz w:val="22"/>
                <w:szCs w:val="22"/>
              </w:rPr>
              <w:t xml:space="preserve">Afgiften kunne efter </w:t>
            </w:r>
            <w:proofErr w:type="spellStart"/>
            <w:r w:rsidRPr="001F4CEA">
              <w:rPr>
                <w:sz w:val="22"/>
                <w:szCs w:val="22"/>
              </w:rPr>
              <w:t>SDEs</w:t>
            </w:r>
            <w:proofErr w:type="spellEnd"/>
            <w:r w:rsidRPr="001F4CEA">
              <w:rPr>
                <w:sz w:val="22"/>
                <w:szCs w:val="22"/>
              </w:rPr>
              <w:t xml:space="preserve"> mening samme</w:t>
            </w:r>
            <w:r w:rsidRPr="001F4CEA">
              <w:rPr>
                <w:sz w:val="22"/>
                <w:szCs w:val="22"/>
              </w:rPr>
              <w:t>n</w:t>
            </w:r>
            <w:r w:rsidRPr="001F4CEA">
              <w:rPr>
                <w:sz w:val="22"/>
                <w:szCs w:val="22"/>
              </w:rPr>
              <w:t>sættes af følgende elementer:</w:t>
            </w:r>
          </w:p>
          <w:p w:rsidR="00C97530" w:rsidRPr="001F4CEA" w:rsidRDefault="00C97530" w:rsidP="00C97530">
            <w:pPr>
              <w:rPr>
                <w:sz w:val="22"/>
                <w:szCs w:val="22"/>
              </w:rPr>
            </w:pPr>
            <w:r w:rsidRPr="001F4CEA">
              <w:rPr>
                <w:sz w:val="22"/>
                <w:szCs w:val="22"/>
              </w:rPr>
              <w:t>En forbrugsafgift der er ens pr. kWh uanset energiformen.</w:t>
            </w:r>
          </w:p>
          <w:p w:rsidR="00C97530" w:rsidRPr="001F4CEA" w:rsidRDefault="00C97530" w:rsidP="00C97530">
            <w:pPr>
              <w:rPr>
                <w:sz w:val="22"/>
                <w:szCs w:val="22"/>
              </w:rPr>
            </w:pPr>
            <w:r w:rsidRPr="001F4CEA">
              <w:rPr>
                <w:sz w:val="22"/>
                <w:szCs w:val="22"/>
              </w:rPr>
              <w:t>En forureningsafgift der tager højde for ene</w:t>
            </w:r>
            <w:r w:rsidRPr="001F4CEA">
              <w:rPr>
                <w:sz w:val="22"/>
                <w:szCs w:val="22"/>
              </w:rPr>
              <w:t>r</w:t>
            </w:r>
            <w:r w:rsidRPr="001F4CEA">
              <w:rPr>
                <w:sz w:val="22"/>
                <w:szCs w:val="22"/>
              </w:rPr>
              <w:t>giformens totale forurening (miljø- og sun</w:t>
            </w:r>
            <w:r w:rsidRPr="001F4CEA">
              <w:rPr>
                <w:sz w:val="22"/>
                <w:szCs w:val="22"/>
              </w:rPr>
              <w:t>d</w:t>
            </w:r>
            <w:r w:rsidRPr="001F4CEA">
              <w:rPr>
                <w:sz w:val="22"/>
                <w:szCs w:val="22"/>
              </w:rPr>
              <w:t>hedsskadelig påvirkning)</w:t>
            </w:r>
            <w:r w:rsidR="003B112A">
              <w:rPr>
                <w:sz w:val="22"/>
                <w:szCs w:val="22"/>
              </w:rPr>
              <w:t>.</w:t>
            </w:r>
          </w:p>
          <w:p w:rsidR="00C97530" w:rsidRPr="001F4CEA" w:rsidRDefault="00C97530" w:rsidP="00C97530">
            <w:pPr>
              <w:rPr>
                <w:sz w:val="22"/>
                <w:szCs w:val="22"/>
              </w:rPr>
            </w:pPr>
            <w:r w:rsidRPr="001F4CEA">
              <w:rPr>
                <w:sz w:val="22"/>
                <w:szCs w:val="22"/>
              </w:rPr>
              <w:t>En omstillingsafgift på de energiformer, der skal udfases - og som bortfalder</w:t>
            </w:r>
            <w:r w:rsidR="003B112A">
              <w:rPr>
                <w:sz w:val="22"/>
                <w:szCs w:val="22"/>
              </w:rPr>
              <w:t>,</w:t>
            </w:r>
            <w:r w:rsidRPr="001F4CEA">
              <w:rPr>
                <w:sz w:val="22"/>
                <w:szCs w:val="22"/>
              </w:rPr>
              <w:t xml:space="preserve"> når omsti</w:t>
            </w:r>
            <w:r w:rsidRPr="001F4CEA">
              <w:rPr>
                <w:sz w:val="22"/>
                <w:szCs w:val="22"/>
              </w:rPr>
              <w:t>l</w:t>
            </w:r>
            <w:r w:rsidRPr="001F4CEA">
              <w:rPr>
                <w:sz w:val="22"/>
                <w:szCs w:val="22"/>
              </w:rPr>
              <w:t>lingen er gennemført.</w:t>
            </w:r>
          </w:p>
          <w:p w:rsidR="00C97530" w:rsidRPr="001F4CEA" w:rsidRDefault="00C97530" w:rsidP="00C97530">
            <w:pPr>
              <w:rPr>
                <w:sz w:val="22"/>
                <w:szCs w:val="22"/>
              </w:rPr>
            </w:pPr>
            <w:r w:rsidRPr="001F4CEA">
              <w:rPr>
                <w:sz w:val="22"/>
                <w:szCs w:val="22"/>
              </w:rPr>
              <w:t xml:space="preserve">Det er </w:t>
            </w:r>
            <w:proofErr w:type="spellStart"/>
            <w:r w:rsidRPr="001F4CEA">
              <w:rPr>
                <w:sz w:val="22"/>
                <w:szCs w:val="22"/>
              </w:rPr>
              <w:t>SDEs</w:t>
            </w:r>
            <w:proofErr w:type="spellEnd"/>
            <w:r w:rsidRPr="001F4CEA">
              <w:rPr>
                <w:sz w:val="22"/>
                <w:szCs w:val="22"/>
              </w:rPr>
              <w:t xml:space="preserve"> opfattelse, at de danske energ</w:t>
            </w:r>
            <w:r w:rsidRPr="001F4CEA">
              <w:rPr>
                <w:sz w:val="22"/>
                <w:szCs w:val="22"/>
              </w:rPr>
              <w:t>i</w:t>
            </w:r>
            <w:r w:rsidRPr="001F4CEA">
              <w:rPr>
                <w:sz w:val="22"/>
                <w:szCs w:val="22"/>
              </w:rPr>
              <w:t>forbrugere ikke har brug for yderligere a</w:t>
            </w:r>
            <w:r w:rsidRPr="001F4CEA">
              <w:rPr>
                <w:sz w:val="22"/>
                <w:szCs w:val="22"/>
              </w:rPr>
              <w:t>f</w:t>
            </w:r>
            <w:r w:rsidRPr="001F4CEA">
              <w:rPr>
                <w:sz w:val="22"/>
                <w:szCs w:val="22"/>
              </w:rPr>
              <w:t>giftstyper, men at der er brug for afgifter der både understøtter den politisk ønskede o</w:t>
            </w:r>
            <w:r w:rsidRPr="001F4CEA">
              <w:rPr>
                <w:sz w:val="22"/>
                <w:szCs w:val="22"/>
              </w:rPr>
              <w:t>m</w:t>
            </w:r>
            <w:r w:rsidRPr="001F4CEA">
              <w:rPr>
                <w:sz w:val="22"/>
                <w:szCs w:val="22"/>
              </w:rPr>
              <w:t>lægning og samtidig sikre staten det afgift</w:t>
            </w:r>
            <w:r w:rsidRPr="001F4CEA">
              <w:rPr>
                <w:sz w:val="22"/>
                <w:szCs w:val="22"/>
              </w:rPr>
              <w:t>s</w:t>
            </w:r>
            <w:r w:rsidRPr="001F4CEA">
              <w:rPr>
                <w:sz w:val="22"/>
                <w:szCs w:val="22"/>
              </w:rPr>
              <w:t>provenu, der er fastsat iht. finansloven.</w:t>
            </w:r>
          </w:p>
          <w:p w:rsidR="00C97530" w:rsidRPr="001F4CEA" w:rsidRDefault="00C97530" w:rsidP="00C97530">
            <w:pPr>
              <w:rPr>
                <w:sz w:val="22"/>
                <w:szCs w:val="22"/>
              </w:rPr>
            </w:pPr>
            <w:r w:rsidRPr="001F4CEA">
              <w:rPr>
                <w:sz w:val="22"/>
                <w:szCs w:val="22"/>
              </w:rPr>
              <w:t xml:space="preserve">SDE deler ikke forligspartiernes holdning til, at virksomheder ikke skal betale den samme afgift som de private forbrugere, det er </w:t>
            </w:r>
            <w:proofErr w:type="spellStart"/>
            <w:r w:rsidRPr="001F4CEA">
              <w:rPr>
                <w:sz w:val="22"/>
                <w:szCs w:val="22"/>
              </w:rPr>
              <w:t>SDEs</w:t>
            </w:r>
            <w:proofErr w:type="spellEnd"/>
            <w:r w:rsidRPr="001F4CEA">
              <w:rPr>
                <w:sz w:val="22"/>
                <w:szCs w:val="22"/>
              </w:rPr>
              <w:t xml:space="preserve"> opfattelse, at en lempelse af virksomhedernes energiafgifter flytter omkostningen over på det private energiforbrug, men de øgede pr</w:t>
            </w:r>
            <w:r w:rsidRPr="001F4CEA">
              <w:rPr>
                <w:sz w:val="22"/>
                <w:szCs w:val="22"/>
              </w:rPr>
              <w:t>i</w:t>
            </w:r>
            <w:r w:rsidRPr="001F4CEA">
              <w:rPr>
                <w:sz w:val="22"/>
                <w:szCs w:val="22"/>
              </w:rPr>
              <w:t>vate energiudgifter vender tilbage til vir</w:t>
            </w:r>
            <w:r w:rsidRPr="001F4CEA">
              <w:rPr>
                <w:sz w:val="22"/>
                <w:szCs w:val="22"/>
              </w:rPr>
              <w:t>k</w:t>
            </w:r>
            <w:r w:rsidRPr="001F4CEA">
              <w:rPr>
                <w:sz w:val="22"/>
                <w:szCs w:val="22"/>
              </w:rPr>
              <w:t>somhederne i form af lønkompensation, en kompensation der pga. det danske indkoms</w:t>
            </w:r>
            <w:r w:rsidRPr="001F4CEA">
              <w:rPr>
                <w:sz w:val="22"/>
                <w:szCs w:val="22"/>
              </w:rPr>
              <w:t>t</w:t>
            </w:r>
            <w:r w:rsidRPr="001F4CEA">
              <w:rPr>
                <w:sz w:val="22"/>
                <w:szCs w:val="22"/>
              </w:rPr>
              <w:t xml:space="preserve">skattetryk vil være mindst dobbelt op. </w:t>
            </w:r>
          </w:p>
          <w:p w:rsidR="00FC7C92" w:rsidRPr="001F4CEA" w:rsidRDefault="00C97530" w:rsidP="00C97530">
            <w:pPr>
              <w:rPr>
                <w:sz w:val="22"/>
                <w:szCs w:val="22"/>
              </w:rPr>
            </w:pPr>
            <w:r w:rsidRPr="001F4CEA">
              <w:rPr>
                <w:sz w:val="22"/>
                <w:szCs w:val="22"/>
              </w:rPr>
              <w:t>SDE opfordrer derfor til, at erhvervslivets a</w:t>
            </w:r>
            <w:r w:rsidRPr="001F4CEA">
              <w:rPr>
                <w:sz w:val="22"/>
                <w:szCs w:val="22"/>
              </w:rPr>
              <w:t>f</w:t>
            </w:r>
            <w:r w:rsidRPr="001F4CEA">
              <w:rPr>
                <w:sz w:val="22"/>
                <w:szCs w:val="22"/>
              </w:rPr>
              <w:t>giftsrefusioner udfases, så refusionen er helt væk i 2020.</w:t>
            </w:r>
          </w:p>
        </w:tc>
        <w:tc>
          <w:tcPr>
            <w:tcW w:w="2991" w:type="dxa"/>
          </w:tcPr>
          <w:p w:rsidR="00E337AE" w:rsidRPr="001F4CEA" w:rsidRDefault="00E37C01" w:rsidP="00E37C01">
            <w:pPr>
              <w:rPr>
                <w:sz w:val="22"/>
                <w:szCs w:val="22"/>
              </w:rPr>
            </w:pPr>
            <w:r w:rsidRPr="001F4CEA">
              <w:rPr>
                <w:sz w:val="22"/>
                <w:szCs w:val="22"/>
              </w:rPr>
              <w:t>Nærærende lovforslag og det kommende lovforslag vedr</w:t>
            </w:r>
            <w:r w:rsidRPr="001F4CEA">
              <w:rPr>
                <w:sz w:val="22"/>
                <w:szCs w:val="22"/>
              </w:rPr>
              <w:t>ø</w:t>
            </w:r>
            <w:r w:rsidRPr="001F4CEA">
              <w:rPr>
                <w:sz w:val="22"/>
                <w:szCs w:val="22"/>
              </w:rPr>
              <w:t>rende indførelse af en fors</w:t>
            </w:r>
            <w:r w:rsidRPr="001F4CEA">
              <w:rPr>
                <w:sz w:val="22"/>
                <w:szCs w:val="22"/>
              </w:rPr>
              <w:t>y</w:t>
            </w:r>
            <w:r w:rsidRPr="001F4CEA">
              <w:rPr>
                <w:sz w:val="22"/>
                <w:szCs w:val="22"/>
              </w:rPr>
              <w:t>ningssikkerhedsafgift på bi</w:t>
            </w:r>
            <w:r w:rsidRPr="001F4CEA">
              <w:rPr>
                <w:sz w:val="22"/>
                <w:szCs w:val="22"/>
              </w:rPr>
              <w:t>o</w:t>
            </w:r>
            <w:r w:rsidRPr="001F4CEA">
              <w:rPr>
                <w:sz w:val="22"/>
                <w:szCs w:val="22"/>
              </w:rPr>
              <w:t xml:space="preserve">masse vil alene omfatte </w:t>
            </w:r>
            <w:r w:rsidR="003D3A13" w:rsidRPr="001F4CEA">
              <w:rPr>
                <w:sz w:val="22"/>
                <w:szCs w:val="22"/>
              </w:rPr>
              <w:t xml:space="preserve">en udmøntning af visse </w:t>
            </w:r>
            <w:r w:rsidRPr="001F4CEA">
              <w:rPr>
                <w:sz w:val="22"/>
                <w:szCs w:val="22"/>
              </w:rPr>
              <w:t xml:space="preserve">dele af </w:t>
            </w:r>
            <w:r w:rsidRPr="001F4CEA">
              <w:rPr>
                <w:i/>
                <w:sz w:val="22"/>
                <w:szCs w:val="22"/>
              </w:rPr>
              <w:t>Energiaftalen 2012</w:t>
            </w:r>
            <w:r w:rsidRPr="001F4CEA">
              <w:rPr>
                <w:sz w:val="22"/>
                <w:szCs w:val="22"/>
              </w:rPr>
              <w:t xml:space="preserve"> samt </w:t>
            </w:r>
            <w:r w:rsidRPr="001F4CEA">
              <w:rPr>
                <w:i/>
                <w:sz w:val="22"/>
                <w:szCs w:val="22"/>
              </w:rPr>
              <w:t>So</w:t>
            </w:r>
            <w:r w:rsidRPr="001F4CEA">
              <w:rPr>
                <w:i/>
                <w:sz w:val="22"/>
                <w:szCs w:val="22"/>
              </w:rPr>
              <w:t>l</w:t>
            </w:r>
            <w:r w:rsidRPr="001F4CEA">
              <w:rPr>
                <w:i/>
                <w:sz w:val="22"/>
                <w:szCs w:val="22"/>
              </w:rPr>
              <w:t>celleaftalen</w:t>
            </w:r>
            <w:r w:rsidRPr="001F4CEA">
              <w:rPr>
                <w:sz w:val="22"/>
                <w:szCs w:val="22"/>
              </w:rPr>
              <w:t xml:space="preserve">. </w:t>
            </w:r>
          </w:p>
          <w:p w:rsidR="00FC7C92" w:rsidRPr="001F4CEA" w:rsidRDefault="00E337AE" w:rsidP="00E37C01">
            <w:pPr>
              <w:rPr>
                <w:sz w:val="22"/>
                <w:szCs w:val="22"/>
              </w:rPr>
            </w:pPr>
            <w:r w:rsidRPr="001F4CEA">
              <w:rPr>
                <w:sz w:val="22"/>
                <w:szCs w:val="22"/>
              </w:rPr>
              <w:t>Der vil derudover ikke ske yderligere ændringer i de gæ</w:t>
            </w:r>
            <w:r w:rsidRPr="001F4CEA">
              <w:rPr>
                <w:sz w:val="22"/>
                <w:szCs w:val="22"/>
              </w:rPr>
              <w:t>l</w:t>
            </w:r>
            <w:r w:rsidRPr="001F4CEA">
              <w:rPr>
                <w:sz w:val="22"/>
                <w:szCs w:val="22"/>
              </w:rPr>
              <w:t xml:space="preserve">dende energiafgifter. </w:t>
            </w:r>
          </w:p>
        </w:tc>
      </w:tr>
      <w:tr w:rsidR="00E12A5D" w:rsidRPr="001F4CEA" w:rsidTr="00BE494D">
        <w:trPr>
          <w:trHeight w:val="423"/>
        </w:trPr>
        <w:tc>
          <w:tcPr>
            <w:tcW w:w="1809" w:type="dxa"/>
          </w:tcPr>
          <w:p w:rsidR="00E12A5D" w:rsidRPr="001F4CEA" w:rsidRDefault="00AA1EFE">
            <w:pPr>
              <w:rPr>
                <w:sz w:val="22"/>
                <w:szCs w:val="22"/>
              </w:rPr>
            </w:pPr>
            <w:r w:rsidRPr="001F4CEA">
              <w:rPr>
                <w:sz w:val="22"/>
                <w:szCs w:val="22"/>
              </w:rPr>
              <w:t>SRF Skattefaglig forening</w:t>
            </w:r>
          </w:p>
        </w:tc>
        <w:tc>
          <w:tcPr>
            <w:tcW w:w="4245" w:type="dxa"/>
          </w:tcPr>
          <w:p w:rsidR="00E12A5D" w:rsidRPr="001F4CEA" w:rsidRDefault="00AA1EFE">
            <w:pPr>
              <w:rPr>
                <w:sz w:val="22"/>
                <w:szCs w:val="22"/>
              </w:rPr>
            </w:pPr>
            <w:r w:rsidRPr="001F4CEA">
              <w:rPr>
                <w:sz w:val="22"/>
                <w:szCs w:val="22"/>
              </w:rPr>
              <w:t xml:space="preserve">SRF har ingen bemærkninger. </w:t>
            </w:r>
          </w:p>
        </w:tc>
        <w:tc>
          <w:tcPr>
            <w:tcW w:w="2991" w:type="dxa"/>
          </w:tcPr>
          <w:p w:rsidR="00E12A5D" w:rsidRPr="001F4CEA" w:rsidRDefault="00E12A5D">
            <w:pPr>
              <w:rPr>
                <w:sz w:val="22"/>
                <w:szCs w:val="22"/>
              </w:rPr>
            </w:pPr>
          </w:p>
        </w:tc>
      </w:tr>
    </w:tbl>
    <w:p w:rsidR="00173EEF" w:rsidRDefault="00173EEF">
      <w:pPr>
        <w:rPr>
          <w:sz w:val="24"/>
        </w:rPr>
      </w:pPr>
    </w:p>
    <w:sectPr w:rsidR="00173EEF" w:rsidSect="00EC277C">
      <w:footerReference w:type="default" r:id="rId7"/>
      <w:headerReference w:type="first" r:id="rId8"/>
      <w:pgSz w:w="11906" w:h="16838" w:code="9"/>
      <w:pgMar w:top="1258" w:right="1826" w:bottom="1134" w:left="1247" w:header="180" w:footer="709" w:gutter="0"/>
      <w:paperSrc w:first="256" w:other="25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236" w:rsidRDefault="00032236">
      <w:r>
        <w:separator/>
      </w:r>
    </w:p>
  </w:endnote>
  <w:endnote w:type="continuationSeparator" w:id="0">
    <w:p w:rsidR="00032236" w:rsidRDefault="000322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4B7" w:rsidRDefault="007144B7">
    <w:pPr>
      <w:pStyle w:val="DepartementSidefod"/>
      <w:jc w:val="right"/>
    </w:pPr>
    <w:r>
      <w:t xml:space="preserve">Side </w:t>
    </w:r>
    <w:r w:rsidR="00F13E2A">
      <w:rPr>
        <w:rStyle w:val="Sidetal"/>
      </w:rPr>
      <w:fldChar w:fldCharType="begin"/>
    </w:r>
    <w:r>
      <w:rPr>
        <w:rStyle w:val="Sidetal"/>
      </w:rPr>
      <w:instrText xml:space="preserve"> PAGE </w:instrText>
    </w:r>
    <w:r w:rsidR="00F13E2A">
      <w:rPr>
        <w:rStyle w:val="Sidetal"/>
      </w:rPr>
      <w:fldChar w:fldCharType="separate"/>
    </w:r>
    <w:r w:rsidR="004B65F6">
      <w:rPr>
        <w:rStyle w:val="Sidetal"/>
        <w:noProof/>
      </w:rPr>
      <w:t>2</w:t>
    </w:r>
    <w:r w:rsidR="00F13E2A">
      <w:rPr>
        <w:rStyle w:val="Sidet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236" w:rsidRDefault="00032236">
      <w:r>
        <w:separator/>
      </w:r>
    </w:p>
  </w:footnote>
  <w:footnote w:type="continuationSeparator" w:id="0">
    <w:p w:rsidR="00032236" w:rsidRDefault="000322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page" w:horzAnchor="page" w:tblpX="8699" w:tblpY="1"/>
      <w:tblOverlap w:val="never"/>
      <w:tblW w:w="2484" w:type="dxa"/>
      <w:tblInd w:w="805" w:type="dxa"/>
      <w:tblCellMar>
        <w:top w:w="2262" w:type="dxa"/>
      </w:tblCellMar>
      <w:tblLook w:val="01E0"/>
    </w:tblPr>
    <w:tblGrid>
      <w:gridCol w:w="2484"/>
    </w:tblGrid>
    <w:tr w:rsidR="007144B7">
      <w:trPr>
        <w:trHeight w:val="12079"/>
      </w:trPr>
      <w:tc>
        <w:tcPr>
          <w:tcW w:w="2484" w:type="dxa"/>
        </w:tcPr>
        <w:p w:rsidR="007144B7" w:rsidRDefault="007144B7">
          <w:pPr>
            <w:pStyle w:val="Departementtekst"/>
            <w:ind w:right="-105"/>
            <w:rPr>
              <w:rFonts w:ascii="Arial" w:hAnsi="Arial" w:cs="Arial"/>
              <w:sz w:val="14"/>
              <w:lang w:val="en-GB"/>
            </w:rPr>
          </w:pPr>
          <w:r>
            <w:rPr>
              <w:rFonts w:ascii="Arial" w:hAnsi="Arial" w:cs="Arial"/>
              <w:sz w:val="14"/>
              <w:lang w:val="en-GB"/>
            </w:rPr>
            <w:t xml:space="preserve">   J.nr. </w:t>
          </w:r>
          <w:bookmarkStart w:id="1" w:name="sagsnr"/>
          <w:bookmarkEnd w:id="1"/>
          <w:r>
            <w:rPr>
              <w:rFonts w:ascii="Arial" w:hAnsi="Arial" w:cs="Arial"/>
              <w:sz w:val="14"/>
              <w:lang w:val="en-GB"/>
            </w:rPr>
            <w:t>12-0226912</w:t>
          </w:r>
        </w:p>
        <w:p w:rsidR="007144B7" w:rsidRDefault="007144B7">
          <w:pPr>
            <w:pStyle w:val="Departementtekst"/>
            <w:ind w:right="-105"/>
            <w:rPr>
              <w:rFonts w:ascii="Arial" w:hAnsi="Arial" w:cs="Arial"/>
              <w:bCs/>
              <w:sz w:val="14"/>
              <w:lang w:val="en-GB"/>
            </w:rPr>
          </w:pPr>
          <w:r>
            <w:rPr>
              <w:rFonts w:ascii="Arial" w:hAnsi="Arial" w:cs="Arial"/>
              <w:bCs/>
              <w:sz w:val="14"/>
              <w:lang w:val="en-GB"/>
            </w:rPr>
            <w:t xml:space="preserve">   </w:t>
          </w:r>
          <w:proofErr w:type="spellStart"/>
          <w:r>
            <w:rPr>
              <w:rFonts w:ascii="Arial" w:hAnsi="Arial" w:cs="Arial"/>
              <w:bCs/>
              <w:sz w:val="14"/>
              <w:lang w:val="en-GB"/>
            </w:rPr>
            <w:t>Dato</w:t>
          </w:r>
          <w:proofErr w:type="spellEnd"/>
          <w:r>
            <w:rPr>
              <w:rFonts w:ascii="Arial" w:hAnsi="Arial" w:cs="Arial"/>
              <w:bCs/>
              <w:sz w:val="14"/>
              <w:lang w:val="en-GB"/>
            </w:rPr>
            <w:t xml:space="preserve">: 10. </w:t>
          </w:r>
          <w:proofErr w:type="spellStart"/>
          <w:r>
            <w:rPr>
              <w:rFonts w:ascii="Arial" w:hAnsi="Arial" w:cs="Arial"/>
              <w:bCs/>
              <w:sz w:val="14"/>
              <w:lang w:val="en-GB"/>
            </w:rPr>
            <w:t>januar</w:t>
          </w:r>
          <w:proofErr w:type="spellEnd"/>
          <w:r>
            <w:rPr>
              <w:rFonts w:ascii="Arial" w:hAnsi="Arial" w:cs="Arial"/>
              <w:bCs/>
              <w:sz w:val="14"/>
              <w:lang w:val="en-GB"/>
            </w:rPr>
            <w:t xml:space="preserve"> 2013</w:t>
          </w:r>
        </w:p>
        <w:p w:rsidR="007144B7" w:rsidRDefault="007144B7">
          <w:pPr>
            <w:pStyle w:val="Departementtekst"/>
            <w:tabs>
              <w:tab w:val="left" w:pos="720"/>
            </w:tabs>
            <w:ind w:left="540" w:right="-105"/>
            <w:rPr>
              <w:sz w:val="14"/>
              <w:lang w:val="en-GB"/>
            </w:rPr>
          </w:pPr>
        </w:p>
        <w:p w:rsidR="007144B7" w:rsidRDefault="007144B7">
          <w:pPr>
            <w:pStyle w:val="Departementtekst"/>
            <w:ind w:left="540" w:right="-105"/>
            <w:rPr>
              <w:sz w:val="14"/>
              <w:lang w:val="en-GB"/>
            </w:rPr>
          </w:pPr>
        </w:p>
        <w:p w:rsidR="007144B7" w:rsidRDefault="007144B7">
          <w:pPr>
            <w:pStyle w:val="Departementtekst"/>
            <w:ind w:left="540" w:right="-105"/>
            <w:rPr>
              <w:sz w:val="14"/>
              <w:lang w:val="en-GB"/>
            </w:rPr>
          </w:pPr>
        </w:p>
        <w:p w:rsidR="007144B7" w:rsidRDefault="007144B7">
          <w:pPr>
            <w:pStyle w:val="Departementtekst"/>
            <w:rPr>
              <w:lang w:val="en-GB"/>
            </w:rPr>
          </w:pPr>
        </w:p>
      </w:tc>
    </w:tr>
  </w:tbl>
  <w:p w:rsidR="007144B7" w:rsidRDefault="00F13E2A">
    <w:pPr>
      <w:pStyle w:val="Departementtekst"/>
      <w:ind w:right="-130"/>
      <w:jc w:val="right"/>
      <w:rPr>
        <w:lang w:val="fr-F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i1025" type="#_x0000_t75" alt="Beskrivelse: SKM" style="width:225pt;height:66pt;visibility:visible;mso-wrap-style:square">
          <v:imagedata r:id="rId1" o:title="SKM"/>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1304"/>
  <w:autoHyphenation/>
  <w:hyphenationZone w:val="284"/>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3EEF"/>
    <w:rsid w:val="000108E2"/>
    <w:rsid w:val="00032236"/>
    <w:rsid w:val="00094E64"/>
    <w:rsid w:val="000A789C"/>
    <w:rsid w:val="000C6E4F"/>
    <w:rsid w:val="000E56F7"/>
    <w:rsid w:val="000F2D33"/>
    <w:rsid w:val="00107D6D"/>
    <w:rsid w:val="00110DCA"/>
    <w:rsid w:val="00140357"/>
    <w:rsid w:val="001460CC"/>
    <w:rsid w:val="001618A1"/>
    <w:rsid w:val="00163396"/>
    <w:rsid w:val="00164BA6"/>
    <w:rsid w:val="00170307"/>
    <w:rsid w:val="00173EEF"/>
    <w:rsid w:val="00175E9F"/>
    <w:rsid w:val="00192170"/>
    <w:rsid w:val="00194AB1"/>
    <w:rsid w:val="001B0379"/>
    <w:rsid w:val="001B722C"/>
    <w:rsid w:val="001D1B64"/>
    <w:rsid w:val="001D26A1"/>
    <w:rsid w:val="001E3A0C"/>
    <w:rsid w:val="001F4CEA"/>
    <w:rsid w:val="00205C2E"/>
    <w:rsid w:val="00205E01"/>
    <w:rsid w:val="00217F5D"/>
    <w:rsid w:val="002221A9"/>
    <w:rsid w:val="00235C70"/>
    <w:rsid w:val="00237142"/>
    <w:rsid w:val="00237E58"/>
    <w:rsid w:val="00243D80"/>
    <w:rsid w:val="00255919"/>
    <w:rsid w:val="00267DFB"/>
    <w:rsid w:val="00281715"/>
    <w:rsid w:val="002938BD"/>
    <w:rsid w:val="002A558F"/>
    <w:rsid w:val="002B72BC"/>
    <w:rsid w:val="002D0746"/>
    <w:rsid w:val="002D46B2"/>
    <w:rsid w:val="002E2CF1"/>
    <w:rsid w:val="00321774"/>
    <w:rsid w:val="00334601"/>
    <w:rsid w:val="00350912"/>
    <w:rsid w:val="00355007"/>
    <w:rsid w:val="00355292"/>
    <w:rsid w:val="003603A7"/>
    <w:rsid w:val="00364373"/>
    <w:rsid w:val="00382B43"/>
    <w:rsid w:val="003837DB"/>
    <w:rsid w:val="00385645"/>
    <w:rsid w:val="0039143A"/>
    <w:rsid w:val="00393F33"/>
    <w:rsid w:val="003B112A"/>
    <w:rsid w:val="003C0DCF"/>
    <w:rsid w:val="003D3A13"/>
    <w:rsid w:val="003D641D"/>
    <w:rsid w:val="00436F9F"/>
    <w:rsid w:val="00443135"/>
    <w:rsid w:val="00460C71"/>
    <w:rsid w:val="00474733"/>
    <w:rsid w:val="0049606F"/>
    <w:rsid w:val="004A30BA"/>
    <w:rsid w:val="004B5FD5"/>
    <w:rsid w:val="004B65F6"/>
    <w:rsid w:val="004B7375"/>
    <w:rsid w:val="004C6091"/>
    <w:rsid w:val="004F050E"/>
    <w:rsid w:val="004F4CD2"/>
    <w:rsid w:val="00505D4C"/>
    <w:rsid w:val="00510BEB"/>
    <w:rsid w:val="00513425"/>
    <w:rsid w:val="00537625"/>
    <w:rsid w:val="00546069"/>
    <w:rsid w:val="0054645D"/>
    <w:rsid w:val="0055281D"/>
    <w:rsid w:val="005578D4"/>
    <w:rsid w:val="00573415"/>
    <w:rsid w:val="0058176F"/>
    <w:rsid w:val="005817A7"/>
    <w:rsid w:val="00594F3B"/>
    <w:rsid w:val="00597329"/>
    <w:rsid w:val="00597D53"/>
    <w:rsid w:val="005A13CA"/>
    <w:rsid w:val="005D4E6C"/>
    <w:rsid w:val="005E25B1"/>
    <w:rsid w:val="005F1C3B"/>
    <w:rsid w:val="006025D4"/>
    <w:rsid w:val="00633FE6"/>
    <w:rsid w:val="00641AC5"/>
    <w:rsid w:val="0065594F"/>
    <w:rsid w:val="0068636A"/>
    <w:rsid w:val="006A5787"/>
    <w:rsid w:val="006F38E5"/>
    <w:rsid w:val="007144B7"/>
    <w:rsid w:val="007158F4"/>
    <w:rsid w:val="007224D5"/>
    <w:rsid w:val="007303B3"/>
    <w:rsid w:val="0075509B"/>
    <w:rsid w:val="00760D07"/>
    <w:rsid w:val="007963F5"/>
    <w:rsid w:val="0079697F"/>
    <w:rsid w:val="00796F36"/>
    <w:rsid w:val="007A0F61"/>
    <w:rsid w:val="007A19DE"/>
    <w:rsid w:val="007A7CC7"/>
    <w:rsid w:val="007B22E1"/>
    <w:rsid w:val="007B475A"/>
    <w:rsid w:val="007C17B8"/>
    <w:rsid w:val="007E17F0"/>
    <w:rsid w:val="007E6E80"/>
    <w:rsid w:val="00800745"/>
    <w:rsid w:val="00801F30"/>
    <w:rsid w:val="008236F0"/>
    <w:rsid w:val="008250F1"/>
    <w:rsid w:val="00835C44"/>
    <w:rsid w:val="008405CC"/>
    <w:rsid w:val="00842393"/>
    <w:rsid w:val="00844F80"/>
    <w:rsid w:val="00865624"/>
    <w:rsid w:val="00877538"/>
    <w:rsid w:val="00882860"/>
    <w:rsid w:val="00883ADA"/>
    <w:rsid w:val="008A2546"/>
    <w:rsid w:val="008C5F80"/>
    <w:rsid w:val="008E2C5C"/>
    <w:rsid w:val="00914A7F"/>
    <w:rsid w:val="00944E69"/>
    <w:rsid w:val="00965AA1"/>
    <w:rsid w:val="00967727"/>
    <w:rsid w:val="00973E44"/>
    <w:rsid w:val="00981F4F"/>
    <w:rsid w:val="009949D7"/>
    <w:rsid w:val="00994EB9"/>
    <w:rsid w:val="009A0719"/>
    <w:rsid w:val="009B36AC"/>
    <w:rsid w:val="009B3F1D"/>
    <w:rsid w:val="009B4D0D"/>
    <w:rsid w:val="009C17C4"/>
    <w:rsid w:val="009C519C"/>
    <w:rsid w:val="009F2185"/>
    <w:rsid w:val="009F2B03"/>
    <w:rsid w:val="009F4FB8"/>
    <w:rsid w:val="00A009E0"/>
    <w:rsid w:val="00A018FC"/>
    <w:rsid w:val="00A308D7"/>
    <w:rsid w:val="00A32A65"/>
    <w:rsid w:val="00A46E75"/>
    <w:rsid w:val="00A56C38"/>
    <w:rsid w:val="00A57B99"/>
    <w:rsid w:val="00A65C42"/>
    <w:rsid w:val="00A85BB9"/>
    <w:rsid w:val="00AA1EFE"/>
    <w:rsid w:val="00AB0422"/>
    <w:rsid w:val="00AC406B"/>
    <w:rsid w:val="00AD3A00"/>
    <w:rsid w:val="00AD6414"/>
    <w:rsid w:val="00AE3FD8"/>
    <w:rsid w:val="00AE630C"/>
    <w:rsid w:val="00AF115C"/>
    <w:rsid w:val="00AF5D5C"/>
    <w:rsid w:val="00AF6899"/>
    <w:rsid w:val="00B002BD"/>
    <w:rsid w:val="00B01D52"/>
    <w:rsid w:val="00B05038"/>
    <w:rsid w:val="00B140A4"/>
    <w:rsid w:val="00B231EA"/>
    <w:rsid w:val="00B35C28"/>
    <w:rsid w:val="00B46FBF"/>
    <w:rsid w:val="00B53811"/>
    <w:rsid w:val="00B565F8"/>
    <w:rsid w:val="00B678E2"/>
    <w:rsid w:val="00B830E8"/>
    <w:rsid w:val="00B83BF8"/>
    <w:rsid w:val="00B84A68"/>
    <w:rsid w:val="00B944D7"/>
    <w:rsid w:val="00BE494D"/>
    <w:rsid w:val="00BE5C11"/>
    <w:rsid w:val="00BF444A"/>
    <w:rsid w:val="00C050C5"/>
    <w:rsid w:val="00C16375"/>
    <w:rsid w:val="00C575E4"/>
    <w:rsid w:val="00C7696D"/>
    <w:rsid w:val="00C81ED1"/>
    <w:rsid w:val="00C93559"/>
    <w:rsid w:val="00C97530"/>
    <w:rsid w:val="00CA246D"/>
    <w:rsid w:val="00CC04CE"/>
    <w:rsid w:val="00CD6AC2"/>
    <w:rsid w:val="00CF388C"/>
    <w:rsid w:val="00CF39F1"/>
    <w:rsid w:val="00D022E2"/>
    <w:rsid w:val="00D05E1C"/>
    <w:rsid w:val="00D21FCD"/>
    <w:rsid w:val="00D257B7"/>
    <w:rsid w:val="00D4201C"/>
    <w:rsid w:val="00D4593C"/>
    <w:rsid w:val="00D4642A"/>
    <w:rsid w:val="00D53F17"/>
    <w:rsid w:val="00D6601A"/>
    <w:rsid w:val="00D66C67"/>
    <w:rsid w:val="00D74EE1"/>
    <w:rsid w:val="00D80B86"/>
    <w:rsid w:val="00D839EC"/>
    <w:rsid w:val="00D95220"/>
    <w:rsid w:val="00E030C0"/>
    <w:rsid w:val="00E032EC"/>
    <w:rsid w:val="00E12A5D"/>
    <w:rsid w:val="00E1585C"/>
    <w:rsid w:val="00E337AE"/>
    <w:rsid w:val="00E37C01"/>
    <w:rsid w:val="00E4094B"/>
    <w:rsid w:val="00E43744"/>
    <w:rsid w:val="00E622D3"/>
    <w:rsid w:val="00E629E9"/>
    <w:rsid w:val="00E6551F"/>
    <w:rsid w:val="00E90CCB"/>
    <w:rsid w:val="00EA7B75"/>
    <w:rsid w:val="00EA7D67"/>
    <w:rsid w:val="00EB0DA0"/>
    <w:rsid w:val="00EB7A6D"/>
    <w:rsid w:val="00EC277C"/>
    <w:rsid w:val="00ED74AC"/>
    <w:rsid w:val="00EE0A2B"/>
    <w:rsid w:val="00EF01B0"/>
    <w:rsid w:val="00F01ECB"/>
    <w:rsid w:val="00F062FD"/>
    <w:rsid w:val="00F13E2A"/>
    <w:rsid w:val="00F31852"/>
    <w:rsid w:val="00F34BB9"/>
    <w:rsid w:val="00F3527C"/>
    <w:rsid w:val="00F82849"/>
    <w:rsid w:val="00F86B8D"/>
    <w:rsid w:val="00F93175"/>
    <w:rsid w:val="00F93B0F"/>
    <w:rsid w:val="00FB57CC"/>
    <w:rsid w:val="00FC7C92"/>
    <w:rsid w:val="00FE0C79"/>
    <w:rsid w:val="00FE1B40"/>
    <w:rsid w:val="00FE560B"/>
    <w:rsid w:val="00FE656D"/>
    <w:rsid w:val="00FE6CDE"/>
    <w:rsid w:val="00FF6AA8"/>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277C"/>
    <w:pPr>
      <w:spacing w:after="150"/>
    </w:pPr>
    <w:rPr>
      <w:sz w:val="23"/>
      <w:szCs w:val="24"/>
    </w:rPr>
  </w:style>
  <w:style w:type="paragraph" w:styleId="Overskrift1">
    <w:name w:val="heading 1"/>
    <w:basedOn w:val="Normal"/>
    <w:next w:val="Normal"/>
    <w:qFormat/>
    <w:rsid w:val="00EC277C"/>
    <w:pPr>
      <w:keepNext/>
      <w:spacing w:before="20" w:after="20"/>
      <w:outlineLvl w:val="0"/>
    </w:pPr>
    <w:rPr>
      <w:b/>
      <w:bCs/>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EC277C"/>
    <w:pPr>
      <w:tabs>
        <w:tab w:val="center" w:pos="4819"/>
        <w:tab w:val="right" w:pos="9638"/>
      </w:tabs>
    </w:pPr>
  </w:style>
  <w:style w:type="paragraph" w:styleId="Sidefod">
    <w:name w:val="footer"/>
    <w:basedOn w:val="Normal"/>
    <w:rsid w:val="00EC277C"/>
    <w:pPr>
      <w:tabs>
        <w:tab w:val="center" w:pos="4819"/>
        <w:tab w:val="right" w:pos="9638"/>
      </w:tabs>
    </w:pPr>
  </w:style>
  <w:style w:type="character" w:styleId="Sidetal">
    <w:name w:val="page number"/>
    <w:basedOn w:val="Standardskrifttypeiafsnit"/>
    <w:rsid w:val="00EC277C"/>
  </w:style>
  <w:style w:type="paragraph" w:styleId="Markeringsbobletekst">
    <w:name w:val="Balloon Text"/>
    <w:basedOn w:val="Normal"/>
    <w:link w:val="MarkeringsbobletekstTegn"/>
    <w:rsid w:val="002B72BC"/>
    <w:pPr>
      <w:spacing w:after="0"/>
    </w:pPr>
    <w:rPr>
      <w:rFonts w:ascii="Tahoma" w:hAnsi="Tahoma" w:cs="Tahoma"/>
      <w:sz w:val="16"/>
      <w:szCs w:val="16"/>
    </w:rPr>
  </w:style>
  <w:style w:type="paragraph" w:styleId="Brdtekst">
    <w:name w:val="Body Text"/>
    <w:basedOn w:val="Normal"/>
    <w:rsid w:val="00EC277C"/>
    <w:pPr>
      <w:spacing w:after="240" w:line="240" w:lineRule="atLeast"/>
    </w:pPr>
    <w:rPr>
      <w:spacing w:val="-5"/>
      <w:szCs w:val="20"/>
      <w:lang w:eastAsia="en-US"/>
    </w:rPr>
  </w:style>
  <w:style w:type="character" w:styleId="Hyperlink">
    <w:name w:val="Hyperlink"/>
    <w:rsid w:val="00EC277C"/>
    <w:rPr>
      <w:color w:val="0000FF"/>
      <w:u w:val="single"/>
    </w:rPr>
  </w:style>
  <w:style w:type="paragraph" w:customStyle="1" w:styleId="Adressat">
    <w:name w:val="Adressat"/>
    <w:rsid w:val="00EC277C"/>
    <w:pPr>
      <w:spacing w:after="150" w:line="180" w:lineRule="exact"/>
      <w:jc w:val="both"/>
    </w:pPr>
    <w:rPr>
      <w:sz w:val="23"/>
      <w:szCs w:val="24"/>
    </w:rPr>
  </w:style>
  <w:style w:type="paragraph" w:customStyle="1" w:styleId="Departementtekst">
    <w:name w:val="Departement tekst"/>
    <w:rsid w:val="00EC277C"/>
    <w:pPr>
      <w:spacing w:after="130"/>
    </w:pPr>
    <w:rPr>
      <w:rFonts w:ascii="Verdana" w:hAnsi="Verdana"/>
      <w:sz w:val="17"/>
      <w:szCs w:val="24"/>
    </w:rPr>
  </w:style>
  <w:style w:type="paragraph" w:customStyle="1" w:styleId="Vedrrendetitel">
    <w:name w:val="Vedrørende titel"/>
    <w:next w:val="Normal"/>
    <w:rsid w:val="00EC277C"/>
    <w:pPr>
      <w:spacing w:after="90"/>
    </w:pPr>
    <w:rPr>
      <w:rFonts w:ascii="Verdana" w:hAnsi="Verdana"/>
      <w:b/>
      <w:sz w:val="15"/>
      <w:szCs w:val="24"/>
    </w:rPr>
  </w:style>
  <w:style w:type="paragraph" w:customStyle="1" w:styleId="DepartementSidefod">
    <w:name w:val="Departement Sidefod"/>
    <w:rsid w:val="00EC277C"/>
    <w:pPr>
      <w:spacing w:after="170"/>
    </w:pPr>
    <w:rPr>
      <w:rFonts w:ascii="Verdana" w:hAnsi="Verdana"/>
      <w:sz w:val="13"/>
      <w:szCs w:val="13"/>
    </w:rPr>
  </w:style>
  <w:style w:type="character" w:customStyle="1" w:styleId="MarkeringsbobletekstTegn">
    <w:name w:val="Markeringsbobletekst Tegn"/>
    <w:link w:val="Markeringsbobletekst"/>
    <w:rsid w:val="002B72BC"/>
    <w:rPr>
      <w:rFonts w:ascii="Tahoma" w:hAnsi="Tahoma" w:cs="Tahoma"/>
      <w:sz w:val="16"/>
      <w:szCs w:val="16"/>
    </w:rPr>
  </w:style>
  <w:style w:type="table" w:styleId="Tabel-Gitter">
    <w:name w:val="Table Grid"/>
    <w:basedOn w:val="Tabel-Normal"/>
    <w:rsid w:val="00E12A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remhv">
    <w:name w:val="Emphasis"/>
    <w:basedOn w:val="Standardskrifttypeiafsnit"/>
    <w:qFormat/>
    <w:rsid w:val="00F062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4146083">
      <w:bodyDiv w:val="1"/>
      <w:marLeft w:val="0"/>
      <w:marRight w:val="0"/>
      <w:marTop w:val="0"/>
      <w:marBottom w:val="0"/>
      <w:divBdr>
        <w:top w:val="none" w:sz="0" w:space="0" w:color="auto"/>
        <w:left w:val="none" w:sz="0" w:space="0" w:color="auto"/>
        <w:bottom w:val="none" w:sz="0" w:space="0" w:color="auto"/>
        <w:right w:val="none" w:sz="0" w:space="0" w:color="auto"/>
      </w:divBdr>
      <w:divsChild>
        <w:div w:id="1501702168">
          <w:marLeft w:val="0"/>
          <w:marRight w:val="0"/>
          <w:marTop w:val="0"/>
          <w:marBottom w:val="0"/>
          <w:divBdr>
            <w:top w:val="none" w:sz="0" w:space="0" w:color="auto"/>
            <w:left w:val="none" w:sz="0" w:space="0" w:color="auto"/>
            <w:bottom w:val="none" w:sz="0" w:space="0" w:color="auto"/>
            <w:right w:val="none" w:sz="0" w:space="0" w:color="auto"/>
          </w:divBdr>
          <w:divsChild>
            <w:div w:id="1915384612">
              <w:marLeft w:val="0"/>
              <w:marRight w:val="0"/>
              <w:marTop w:val="0"/>
              <w:marBottom w:val="0"/>
              <w:divBdr>
                <w:top w:val="none" w:sz="0" w:space="0" w:color="auto"/>
                <w:left w:val="none" w:sz="0" w:space="0" w:color="auto"/>
                <w:bottom w:val="none" w:sz="0" w:space="0" w:color="auto"/>
                <w:right w:val="none" w:sz="0" w:space="0" w:color="auto"/>
              </w:divBdr>
              <w:divsChild>
                <w:div w:id="1314062826">
                  <w:marLeft w:val="0"/>
                  <w:marRight w:val="0"/>
                  <w:marTop w:val="0"/>
                  <w:marBottom w:val="0"/>
                  <w:divBdr>
                    <w:top w:val="none" w:sz="0" w:space="0" w:color="auto"/>
                    <w:left w:val="none" w:sz="0" w:space="0" w:color="auto"/>
                    <w:bottom w:val="none" w:sz="0" w:space="0" w:color="auto"/>
                    <w:right w:val="none" w:sz="0" w:space="0" w:color="auto"/>
                  </w:divBdr>
                  <w:divsChild>
                    <w:div w:id="301890694">
                      <w:marLeft w:val="120"/>
                      <w:marRight w:val="120"/>
                      <w:marTop w:val="0"/>
                      <w:marBottom w:val="0"/>
                      <w:divBdr>
                        <w:top w:val="none" w:sz="0" w:space="0" w:color="auto"/>
                        <w:left w:val="none" w:sz="0" w:space="0" w:color="auto"/>
                        <w:bottom w:val="none" w:sz="0" w:space="0" w:color="auto"/>
                        <w:right w:val="none" w:sz="0" w:space="0" w:color="auto"/>
                      </w:divBdr>
                      <w:divsChild>
                        <w:div w:id="1802307221">
                          <w:marLeft w:val="1"/>
                          <w:marRight w:val="0"/>
                          <w:marTop w:val="0"/>
                          <w:marBottom w:val="0"/>
                          <w:divBdr>
                            <w:top w:val="none" w:sz="0" w:space="0" w:color="auto"/>
                            <w:left w:val="none" w:sz="0" w:space="0" w:color="auto"/>
                            <w:bottom w:val="none" w:sz="0" w:space="0" w:color="auto"/>
                            <w:right w:val="none" w:sz="0" w:space="0" w:color="auto"/>
                          </w:divBdr>
                          <w:divsChild>
                            <w:div w:id="1467628244">
                              <w:marLeft w:val="0"/>
                              <w:marRight w:val="0"/>
                              <w:marTop w:val="0"/>
                              <w:marBottom w:val="0"/>
                              <w:divBdr>
                                <w:top w:val="none" w:sz="0" w:space="0" w:color="auto"/>
                                <w:left w:val="none" w:sz="0" w:space="0" w:color="auto"/>
                                <w:bottom w:val="none" w:sz="0" w:space="0" w:color="auto"/>
                                <w:right w:val="none" w:sz="0" w:space="0" w:color="auto"/>
                              </w:divBdr>
                              <w:divsChild>
                                <w:div w:id="967737315">
                                  <w:marLeft w:val="0"/>
                                  <w:marRight w:val="0"/>
                                  <w:marTop w:val="0"/>
                                  <w:marBottom w:val="0"/>
                                  <w:divBdr>
                                    <w:top w:val="none" w:sz="0" w:space="0" w:color="auto"/>
                                    <w:left w:val="none" w:sz="0" w:space="0" w:color="auto"/>
                                    <w:bottom w:val="none" w:sz="0" w:space="0" w:color="auto"/>
                                    <w:right w:val="none" w:sz="0" w:space="0" w:color="auto"/>
                                  </w:divBdr>
                                  <w:divsChild>
                                    <w:div w:id="5187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126318">
      <w:bodyDiv w:val="1"/>
      <w:marLeft w:val="0"/>
      <w:marRight w:val="0"/>
      <w:marTop w:val="0"/>
      <w:marBottom w:val="0"/>
      <w:divBdr>
        <w:top w:val="none" w:sz="0" w:space="0" w:color="auto"/>
        <w:left w:val="none" w:sz="0" w:space="0" w:color="auto"/>
        <w:bottom w:val="none" w:sz="0" w:space="0" w:color="auto"/>
        <w:right w:val="none" w:sz="0" w:space="0" w:color="auto"/>
      </w:divBdr>
      <w:divsChild>
        <w:div w:id="2096390781">
          <w:marLeft w:val="0"/>
          <w:marRight w:val="0"/>
          <w:marTop w:val="0"/>
          <w:marBottom w:val="0"/>
          <w:divBdr>
            <w:top w:val="none" w:sz="0" w:space="0" w:color="auto"/>
            <w:left w:val="none" w:sz="0" w:space="0" w:color="auto"/>
            <w:bottom w:val="none" w:sz="0" w:space="0" w:color="auto"/>
            <w:right w:val="none" w:sz="0" w:space="0" w:color="auto"/>
          </w:divBdr>
          <w:divsChild>
            <w:div w:id="170340856">
              <w:marLeft w:val="0"/>
              <w:marRight w:val="0"/>
              <w:marTop w:val="0"/>
              <w:marBottom w:val="0"/>
              <w:divBdr>
                <w:top w:val="none" w:sz="0" w:space="0" w:color="auto"/>
                <w:left w:val="none" w:sz="0" w:space="0" w:color="auto"/>
                <w:bottom w:val="none" w:sz="0" w:space="0" w:color="auto"/>
                <w:right w:val="none" w:sz="0" w:space="0" w:color="auto"/>
              </w:divBdr>
              <w:divsChild>
                <w:div w:id="1822190099">
                  <w:marLeft w:val="0"/>
                  <w:marRight w:val="0"/>
                  <w:marTop w:val="0"/>
                  <w:marBottom w:val="0"/>
                  <w:divBdr>
                    <w:top w:val="none" w:sz="0" w:space="0" w:color="auto"/>
                    <w:left w:val="none" w:sz="0" w:space="0" w:color="auto"/>
                    <w:bottom w:val="none" w:sz="0" w:space="0" w:color="auto"/>
                    <w:right w:val="none" w:sz="0" w:space="0" w:color="auto"/>
                  </w:divBdr>
                  <w:divsChild>
                    <w:div w:id="1694377826">
                      <w:marLeft w:val="120"/>
                      <w:marRight w:val="120"/>
                      <w:marTop w:val="0"/>
                      <w:marBottom w:val="0"/>
                      <w:divBdr>
                        <w:top w:val="none" w:sz="0" w:space="0" w:color="auto"/>
                        <w:left w:val="none" w:sz="0" w:space="0" w:color="auto"/>
                        <w:bottom w:val="none" w:sz="0" w:space="0" w:color="auto"/>
                        <w:right w:val="none" w:sz="0" w:space="0" w:color="auto"/>
                      </w:divBdr>
                      <w:divsChild>
                        <w:div w:id="2146772964">
                          <w:marLeft w:val="1"/>
                          <w:marRight w:val="0"/>
                          <w:marTop w:val="0"/>
                          <w:marBottom w:val="0"/>
                          <w:divBdr>
                            <w:top w:val="none" w:sz="0" w:space="0" w:color="auto"/>
                            <w:left w:val="none" w:sz="0" w:space="0" w:color="auto"/>
                            <w:bottom w:val="none" w:sz="0" w:space="0" w:color="auto"/>
                            <w:right w:val="none" w:sz="0" w:space="0" w:color="auto"/>
                          </w:divBdr>
                          <w:divsChild>
                            <w:div w:id="1711419515">
                              <w:marLeft w:val="0"/>
                              <w:marRight w:val="0"/>
                              <w:marTop w:val="0"/>
                              <w:marBottom w:val="0"/>
                              <w:divBdr>
                                <w:top w:val="none" w:sz="0" w:space="0" w:color="auto"/>
                                <w:left w:val="none" w:sz="0" w:space="0" w:color="auto"/>
                                <w:bottom w:val="none" w:sz="0" w:space="0" w:color="auto"/>
                                <w:right w:val="none" w:sz="0" w:space="0" w:color="auto"/>
                              </w:divBdr>
                              <w:divsChild>
                                <w:div w:id="1188759485">
                                  <w:marLeft w:val="0"/>
                                  <w:marRight w:val="0"/>
                                  <w:marTop w:val="0"/>
                                  <w:marBottom w:val="0"/>
                                  <w:divBdr>
                                    <w:top w:val="none" w:sz="0" w:space="0" w:color="auto"/>
                                    <w:left w:val="none" w:sz="0" w:space="0" w:color="auto"/>
                                    <w:bottom w:val="none" w:sz="0" w:space="0" w:color="auto"/>
                                    <w:right w:val="none" w:sz="0" w:space="0" w:color="auto"/>
                                  </w:divBdr>
                                  <w:divsChild>
                                    <w:div w:id="1476874036">
                                      <w:marLeft w:val="0"/>
                                      <w:marRight w:val="0"/>
                                      <w:marTop w:val="0"/>
                                      <w:marBottom w:val="0"/>
                                      <w:divBdr>
                                        <w:top w:val="none" w:sz="0" w:space="0" w:color="auto"/>
                                        <w:left w:val="none" w:sz="0" w:space="0" w:color="auto"/>
                                        <w:bottom w:val="none" w:sz="0" w:space="0" w:color="auto"/>
                                        <w:right w:val="none" w:sz="0" w:space="0" w:color="auto"/>
                                      </w:divBdr>
                                    </w:div>
                                    <w:div w:id="2717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Skrivebord\tmp\Kopi%20af%20%5bCaptia%5d%20Brev.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9A22F-B2F0-41CA-9798-608648D24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Kopi af [Captia] Brev</Template>
  <TotalTime>1020</TotalTime>
  <Pages>1</Pages>
  <Words>6192</Words>
  <Characters>37773</Characters>
  <Application>Microsoft Office Word</Application>
  <DocSecurity>0</DocSecurity>
  <Lines>314</Lines>
  <Paragraphs>87</Paragraphs>
  <ScaleCrop>false</ScaleCrop>
  <HeadingPairs>
    <vt:vector size="2" baseType="variant">
      <vt:variant>
        <vt:lpstr>Titel</vt:lpstr>
      </vt:variant>
      <vt:variant>
        <vt:i4>1</vt:i4>
      </vt:variant>
    </vt:vector>
  </HeadingPairs>
  <TitlesOfParts>
    <vt:vector size="1" baseType="lpstr">
      <vt:lpstr/>
    </vt:vector>
  </TitlesOfParts>
  <Company>Skatteministeriet</Company>
  <LinksUpToDate>false</LinksUpToDate>
  <CharactersWithSpaces>43878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Ingrid Hornshøj Jensen</cp:lastModifiedBy>
  <cp:revision>132</cp:revision>
  <cp:lastPrinted>2013-01-10T08:21:00Z</cp:lastPrinted>
  <dcterms:created xsi:type="dcterms:W3CDTF">2013-01-05T10:26:00Z</dcterms:created>
  <dcterms:modified xsi:type="dcterms:W3CDTF">2013-01-10T08:25:00Z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
    <vt:lpwstr>ds@skm.dk</vt:lpwstr>
  </property>
  <property fmtid="{D5CDD505-2E9C-101B-9397-08002B2CF9AE}" pid="3" name="dir">
    <vt:lpwstr>+45 33 92 44 62</vt:lpwstr>
  </property>
  <property fmtid="{D5CDD505-2E9C-101B-9397-08002B2CF9AE}" pid="4" name="mobil">
    <vt:lpwstr>+45 20 20 20 20</vt:lpwstr>
  </property>
  <property fmtid="{D5CDD505-2E9C-101B-9397-08002B2CF9AE}" pid="5" name="path">
    <vt:lpwstr>C:\Users\w07365\AppData\Local\Temp\SJ20130110081316169 [DOK11778653].DOCX</vt:lpwstr>
  </property>
  <property fmtid="{D5CDD505-2E9C-101B-9397-08002B2CF9AE}" pid="6" name="title">
    <vt:lpwstr>L 108 - høringsskema pr. 10. januar 2013 (DOK11778653)</vt:lpwstr>
  </property>
  <property fmtid="{D5CDD505-2E9C-101B-9397-08002B2CF9AE}" pid="7" name="command">
    <vt:lpwstr/>
  </property>
</Properties>
</file>